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AC" w:rsidRDefault="00AA75AC" w:rsidP="00AA75AC">
      <w:pPr>
        <w:spacing w:line="360" w:lineRule="auto"/>
        <w:jc w:val="center"/>
      </w:pPr>
      <w:r>
        <w:rPr>
          <w:noProof/>
          <w:lang w:eastAsia="ru-RU"/>
        </w:rPr>
        <w:drawing>
          <wp:inline distT="0" distB="0" distL="0" distR="0">
            <wp:extent cx="485775" cy="790575"/>
            <wp:effectExtent l="0" t="0" r="9525" b="9525"/>
            <wp:docPr id="1" name="Рисунок 1" descr="ЯранскийМР_герб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ранскийМР_герб полный"/>
                    <pic:cNvPicPr>
                      <a:picLocks noChangeAspect="1" noChangeArrowheads="1"/>
                    </pic:cNvPicPr>
                  </pic:nvPicPr>
                  <pic:blipFill>
                    <a:blip r:embed="rId8" cstate="print">
                      <a:lum bright="18000"/>
                      <a:grayscl/>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tbl>
      <w:tblPr>
        <w:tblW w:w="0" w:type="auto"/>
        <w:jc w:val="center"/>
        <w:tblLayout w:type="fixed"/>
        <w:tblCellMar>
          <w:left w:w="0" w:type="dxa"/>
          <w:right w:w="0" w:type="dxa"/>
        </w:tblCellMar>
        <w:tblLook w:val="0000" w:firstRow="0" w:lastRow="0" w:firstColumn="0" w:lastColumn="0" w:noHBand="0" w:noVBand="0"/>
      </w:tblPr>
      <w:tblGrid>
        <w:gridCol w:w="1985"/>
        <w:gridCol w:w="2731"/>
        <w:gridCol w:w="2372"/>
        <w:gridCol w:w="1984"/>
      </w:tblGrid>
      <w:tr w:rsidR="00AA75AC" w:rsidTr="005859D4">
        <w:trPr>
          <w:trHeight w:val="1883"/>
          <w:jc w:val="center"/>
        </w:trPr>
        <w:tc>
          <w:tcPr>
            <w:tcW w:w="9072" w:type="dxa"/>
            <w:gridSpan w:val="4"/>
          </w:tcPr>
          <w:p w:rsidR="00AA75AC" w:rsidRDefault="00AA75AC" w:rsidP="005859D4">
            <w:pPr>
              <w:pStyle w:val="Iioaioo"/>
              <w:keepLines w:val="0"/>
              <w:tabs>
                <w:tab w:val="left" w:pos="2977"/>
              </w:tabs>
              <w:spacing w:before="360" w:after="360"/>
              <w:rPr>
                <w:szCs w:val="28"/>
              </w:rPr>
            </w:pPr>
            <w:r>
              <w:rPr>
                <w:szCs w:val="28"/>
              </w:rPr>
              <w:t>ДУМА ЯРАНСКОГО МУНИЦИПАЛЬНОГО РАЙОНА  КИРОВСКОЙ ОБЛАСТИ</w:t>
            </w:r>
          </w:p>
          <w:p w:rsidR="00AA75AC" w:rsidRPr="006A7E47" w:rsidRDefault="006A7E47" w:rsidP="006A7E47">
            <w:pPr>
              <w:pStyle w:val="af5"/>
              <w:keepLines w:val="0"/>
              <w:spacing w:before="0" w:after="480"/>
              <w:rPr>
                <w:noProof w:val="0"/>
                <w:szCs w:val="32"/>
              </w:rPr>
            </w:pPr>
            <w:r>
              <w:rPr>
                <w:noProof w:val="0"/>
                <w:szCs w:val="32"/>
              </w:rPr>
              <w:t>РЕШЕНИЕ</w:t>
            </w:r>
          </w:p>
        </w:tc>
      </w:tr>
      <w:tr w:rsidR="00AA75AC" w:rsidRPr="006A7E47" w:rsidTr="005859D4">
        <w:trPr>
          <w:jc w:val="center"/>
        </w:trPr>
        <w:tc>
          <w:tcPr>
            <w:tcW w:w="1985" w:type="dxa"/>
            <w:tcMar>
              <w:top w:w="0" w:type="dxa"/>
              <w:left w:w="70" w:type="dxa"/>
              <w:bottom w:w="0" w:type="dxa"/>
              <w:right w:w="70" w:type="dxa"/>
            </w:tcMar>
          </w:tcPr>
          <w:p w:rsidR="00AA75AC" w:rsidRPr="006A7E47" w:rsidRDefault="00F64593" w:rsidP="005859D4">
            <w:pPr>
              <w:tabs>
                <w:tab w:val="left" w:pos="2765"/>
              </w:tabs>
              <w:rPr>
                <w:rFonts w:ascii="Times New Roman" w:hAnsi="Times New Roman" w:cs="Times New Roman"/>
                <w:sz w:val="28"/>
                <w:szCs w:val="28"/>
                <w:lang w:eastAsia="zh-CN"/>
              </w:rPr>
            </w:pPr>
            <w:r>
              <w:rPr>
                <w:rFonts w:ascii="Times New Roman" w:hAnsi="Times New Roman" w:cs="Times New Roman"/>
                <w:sz w:val="28"/>
                <w:szCs w:val="28"/>
                <w:lang w:eastAsia="zh-CN"/>
              </w:rPr>
              <w:t>26.02.2025</w:t>
            </w:r>
          </w:p>
        </w:tc>
        <w:tc>
          <w:tcPr>
            <w:tcW w:w="2731" w:type="dxa"/>
            <w:tcMar>
              <w:top w:w="0" w:type="dxa"/>
              <w:left w:w="70" w:type="dxa"/>
              <w:bottom w:w="0" w:type="dxa"/>
              <w:right w:w="70" w:type="dxa"/>
            </w:tcMar>
          </w:tcPr>
          <w:p w:rsidR="00AA75AC" w:rsidRPr="006A7E47" w:rsidRDefault="00AA75AC" w:rsidP="005859D4">
            <w:pPr>
              <w:jc w:val="center"/>
              <w:rPr>
                <w:rFonts w:ascii="Times New Roman" w:hAnsi="Times New Roman" w:cs="Times New Roman"/>
                <w:position w:val="-6"/>
                <w:sz w:val="28"/>
                <w:szCs w:val="28"/>
                <w:lang w:eastAsia="zh-CN"/>
              </w:rPr>
            </w:pPr>
          </w:p>
        </w:tc>
        <w:tc>
          <w:tcPr>
            <w:tcW w:w="2372" w:type="dxa"/>
            <w:tcMar>
              <w:top w:w="0" w:type="dxa"/>
              <w:left w:w="70" w:type="dxa"/>
              <w:bottom w:w="0" w:type="dxa"/>
              <w:right w:w="70" w:type="dxa"/>
            </w:tcMar>
          </w:tcPr>
          <w:p w:rsidR="00AA75AC" w:rsidRPr="006A7E47" w:rsidRDefault="00AA75AC" w:rsidP="005859D4">
            <w:pPr>
              <w:jc w:val="right"/>
              <w:rPr>
                <w:rFonts w:ascii="Times New Roman" w:hAnsi="Times New Roman" w:cs="Times New Roman"/>
                <w:sz w:val="28"/>
                <w:szCs w:val="28"/>
                <w:lang w:eastAsia="zh-CN"/>
              </w:rPr>
            </w:pPr>
          </w:p>
        </w:tc>
        <w:tc>
          <w:tcPr>
            <w:tcW w:w="1984" w:type="dxa"/>
            <w:tcMar>
              <w:top w:w="0" w:type="dxa"/>
              <w:left w:w="70" w:type="dxa"/>
              <w:bottom w:w="0" w:type="dxa"/>
              <w:right w:w="70" w:type="dxa"/>
            </w:tcMar>
          </w:tcPr>
          <w:p w:rsidR="00AA75AC" w:rsidRPr="006A7E47" w:rsidRDefault="00AA75AC" w:rsidP="00F64593">
            <w:pPr>
              <w:jc w:val="center"/>
              <w:rPr>
                <w:rFonts w:ascii="Times New Roman" w:hAnsi="Times New Roman" w:cs="Times New Roman"/>
                <w:sz w:val="28"/>
                <w:szCs w:val="28"/>
                <w:lang w:eastAsia="zh-CN"/>
              </w:rPr>
            </w:pPr>
            <w:r w:rsidRPr="006A7E47">
              <w:rPr>
                <w:rFonts w:ascii="Times New Roman" w:hAnsi="Times New Roman" w:cs="Times New Roman"/>
                <w:position w:val="-6"/>
                <w:sz w:val="28"/>
                <w:szCs w:val="28"/>
              </w:rPr>
              <w:t xml:space="preserve">№ </w:t>
            </w:r>
            <w:r w:rsidR="00F64593">
              <w:rPr>
                <w:rFonts w:ascii="Times New Roman" w:hAnsi="Times New Roman" w:cs="Times New Roman"/>
                <w:position w:val="-6"/>
                <w:sz w:val="28"/>
                <w:szCs w:val="28"/>
              </w:rPr>
              <w:t>255</w:t>
            </w:r>
          </w:p>
        </w:tc>
      </w:tr>
      <w:tr w:rsidR="00AA75AC" w:rsidTr="006A7E47">
        <w:trPr>
          <w:trHeight w:val="337"/>
          <w:jc w:val="center"/>
        </w:trPr>
        <w:tc>
          <w:tcPr>
            <w:tcW w:w="9072" w:type="dxa"/>
            <w:gridSpan w:val="4"/>
            <w:tcMar>
              <w:top w:w="0" w:type="dxa"/>
              <w:left w:w="70" w:type="dxa"/>
              <w:bottom w:w="0" w:type="dxa"/>
              <w:right w:w="70" w:type="dxa"/>
            </w:tcMar>
          </w:tcPr>
          <w:p w:rsidR="00AA75AC" w:rsidRPr="006A7E47" w:rsidRDefault="00AA75AC" w:rsidP="005859D4">
            <w:pPr>
              <w:tabs>
                <w:tab w:val="left" w:pos="2765"/>
              </w:tabs>
              <w:jc w:val="center"/>
              <w:rPr>
                <w:rFonts w:ascii="Times New Roman" w:hAnsi="Times New Roman" w:cs="Times New Roman"/>
                <w:sz w:val="28"/>
                <w:szCs w:val="28"/>
                <w:lang w:eastAsia="zh-CN"/>
              </w:rPr>
            </w:pPr>
            <w:r w:rsidRPr="006A7E47">
              <w:rPr>
                <w:rFonts w:ascii="Times New Roman" w:hAnsi="Times New Roman" w:cs="Times New Roman"/>
                <w:sz w:val="28"/>
                <w:szCs w:val="28"/>
              </w:rPr>
              <w:t xml:space="preserve">г. Яранск </w:t>
            </w:r>
          </w:p>
        </w:tc>
      </w:tr>
      <w:tr w:rsidR="00AA75AC" w:rsidRPr="000447FC" w:rsidTr="005859D4">
        <w:trPr>
          <w:jc w:val="center"/>
        </w:trPr>
        <w:tc>
          <w:tcPr>
            <w:tcW w:w="9072" w:type="dxa"/>
            <w:gridSpan w:val="4"/>
            <w:tcMar>
              <w:top w:w="0" w:type="dxa"/>
              <w:left w:w="70" w:type="dxa"/>
              <w:bottom w:w="0" w:type="dxa"/>
              <w:right w:w="70" w:type="dxa"/>
            </w:tcMar>
          </w:tcPr>
          <w:p w:rsidR="00AA75AC" w:rsidRPr="000447FC" w:rsidRDefault="00AA75AC" w:rsidP="006A7E47">
            <w:pPr>
              <w:shd w:val="clear" w:color="auto" w:fill="FFFFFF"/>
              <w:spacing w:after="0"/>
              <w:rPr>
                <w:b/>
                <w:sz w:val="28"/>
                <w:szCs w:val="28"/>
              </w:rPr>
            </w:pPr>
          </w:p>
          <w:p w:rsidR="00AA75AC" w:rsidRPr="007C13E8" w:rsidRDefault="007C13E8" w:rsidP="007B1461">
            <w:pPr>
              <w:shd w:val="clear" w:color="auto" w:fill="FFFFFF"/>
              <w:spacing w:after="0" w:line="240" w:lineRule="auto"/>
              <w:jc w:val="center"/>
              <w:rPr>
                <w:rFonts w:ascii="Times New Roman" w:hAnsi="Times New Roman" w:cs="Times New Roman"/>
                <w:b/>
                <w:sz w:val="28"/>
                <w:szCs w:val="28"/>
                <w:lang w:eastAsia="zh-CN"/>
              </w:rPr>
            </w:pPr>
            <w:r w:rsidRPr="007C13E8">
              <w:rPr>
                <w:rFonts w:ascii="Times New Roman" w:hAnsi="Times New Roman" w:cs="Times New Roman"/>
                <w:b/>
                <w:sz w:val="28"/>
                <w:szCs w:val="28"/>
              </w:rPr>
              <w:t xml:space="preserve">Об отчете главы муниципального образования Яранский муниципальный район Кировской области за 2024 год </w:t>
            </w:r>
          </w:p>
          <w:p w:rsidR="00570BFB" w:rsidRPr="000447FC" w:rsidRDefault="00570BFB" w:rsidP="006A7E47">
            <w:pPr>
              <w:shd w:val="clear" w:color="auto" w:fill="FFFFFF"/>
              <w:spacing w:after="0"/>
              <w:ind w:firstLine="709"/>
              <w:jc w:val="center"/>
              <w:rPr>
                <w:b/>
                <w:sz w:val="28"/>
                <w:szCs w:val="28"/>
                <w:lang w:eastAsia="zh-CN"/>
              </w:rPr>
            </w:pPr>
          </w:p>
        </w:tc>
      </w:tr>
    </w:tbl>
    <w:p w:rsidR="00AA75AC" w:rsidRPr="00053C7E" w:rsidRDefault="008B3001" w:rsidP="00B859C7">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00AA75AC" w:rsidRPr="00053C7E">
        <w:rPr>
          <w:rFonts w:ascii="Times New Roman" w:hAnsi="Times New Roman" w:cs="Times New Roman"/>
          <w:sz w:val="28"/>
          <w:szCs w:val="28"/>
        </w:rPr>
        <w:t xml:space="preserve"> </w:t>
      </w:r>
      <w:r w:rsidR="00AA75AC" w:rsidRPr="00403C9C">
        <w:rPr>
          <w:rFonts w:ascii="Times New Roman" w:hAnsi="Times New Roman" w:cs="Times New Roman"/>
          <w:color w:val="000000" w:themeColor="text1"/>
          <w:sz w:val="28"/>
          <w:szCs w:val="28"/>
        </w:rPr>
        <w:t xml:space="preserve">соответствии с </w:t>
      </w:r>
      <w:hyperlink r:id="rId9" w:history="1">
        <w:r w:rsidRPr="00403C9C">
          <w:rPr>
            <w:rFonts w:ascii="Times New Roman" w:hAnsi="Times New Roman" w:cs="Times New Roman"/>
            <w:color w:val="000000" w:themeColor="text1"/>
            <w:sz w:val="28"/>
            <w:szCs w:val="28"/>
          </w:rPr>
          <w:t>частью 5.1 статьи 36</w:t>
        </w:r>
      </w:hyperlink>
      <w:r w:rsidRPr="00403C9C">
        <w:rPr>
          <w:rFonts w:ascii="Times New Roman" w:hAnsi="Times New Roman" w:cs="Times New Roman"/>
          <w:color w:val="000000" w:themeColor="text1"/>
          <w:sz w:val="28"/>
          <w:szCs w:val="28"/>
        </w:rPr>
        <w:t xml:space="preserve"> Федерального закона от 06.10.2003 № 131-ФЗ «Об общих принципах организации </w:t>
      </w:r>
      <w:r>
        <w:rPr>
          <w:rFonts w:ascii="Times New Roman" w:hAnsi="Times New Roman" w:cs="Times New Roman"/>
          <w:sz w:val="28"/>
          <w:szCs w:val="28"/>
        </w:rPr>
        <w:t xml:space="preserve">местного самоуправления в Российской Федерации», пунктом 2 статьи 29 </w:t>
      </w:r>
      <w:r w:rsidR="00AA75AC" w:rsidRPr="00053C7E">
        <w:rPr>
          <w:rFonts w:ascii="Times New Roman" w:hAnsi="Times New Roman" w:cs="Times New Roman"/>
          <w:sz w:val="28"/>
          <w:szCs w:val="28"/>
        </w:rPr>
        <w:t>Устав</w:t>
      </w:r>
      <w:r>
        <w:rPr>
          <w:rFonts w:ascii="Times New Roman" w:hAnsi="Times New Roman" w:cs="Times New Roman"/>
          <w:sz w:val="28"/>
          <w:szCs w:val="28"/>
        </w:rPr>
        <w:t>а</w:t>
      </w:r>
      <w:r w:rsidR="00AA75AC" w:rsidRPr="00053C7E">
        <w:rPr>
          <w:rFonts w:ascii="Times New Roman" w:hAnsi="Times New Roman" w:cs="Times New Roman"/>
          <w:sz w:val="28"/>
          <w:szCs w:val="28"/>
        </w:rPr>
        <w:t xml:space="preserve"> муниципального образования Яранский муниципальный район</w:t>
      </w:r>
      <w:r w:rsidR="00134CE7">
        <w:rPr>
          <w:rFonts w:ascii="Times New Roman" w:hAnsi="Times New Roman" w:cs="Times New Roman"/>
          <w:sz w:val="28"/>
          <w:szCs w:val="28"/>
        </w:rPr>
        <w:t xml:space="preserve"> Кировской области</w:t>
      </w:r>
      <w:r w:rsidR="00AA75AC" w:rsidRPr="00053C7E">
        <w:rPr>
          <w:rFonts w:ascii="Times New Roman" w:hAnsi="Times New Roman" w:cs="Times New Roman"/>
          <w:sz w:val="28"/>
          <w:szCs w:val="28"/>
        </w:rPr>
        <w:t xml:space="preserve">, </w:t>
      </w:r>
      <w:r>
        <w:rPr>
          <w:rFonts w:ascii="Times New Roman" w:hAnsi="Times New Roman" w:cs="Times New Roman"/>
          <w:sz w:val="28"/>
          <w:szCs w:val="28"/>
        </w:rPr>
        <w:t>з</w:t>
      </w:r>
      <w:r w:rsidRPr="00053C7E">
        <w:rPr>
          <w:rFonts w:ascii="Times New Roman" w:hAnsi="Times New Roman" w:cs="Times New Roman"/>
          <w:sz w:val="28"/>
          <w:szCs w:val="28"/>
        </w:rPr>
        <w:t>а</w:t>
      </w:r>
      <w:r>
        <w:rPr>
          <w:rFonts w:ascii="Times New Roman" w:hAnsi="Times New Roman" w:cs="Times New Roman"/>
          <w:sz w:val="28"/>
          <w:szCs w:val="28"/>
        </w:rPr>
        <w:t>слушав отчет главы</w:t>
      </w:r>
      <w:r w:rsidRPr="00053C7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Яранский муниципальный </w:t>
      </w:r>
      <w:r w:rsidRPr="00053C7E">
        <w:rPr>
          <w:rFonts w:ascii="Times New Roman" w:hAnsi="Times New Roman" w:cs="Times New Roman"/>
          <w:sz w:val="28"/>
          <w:szCs w:val="28"/>
        </w:rPr>
        <w:t>район</w:t>
      </w:r>
      <w:r>
        <w:rPr>
          <w:rFonts w:ascii="Times New Roman" w:hAnsi="Times New Roman" w:cs="Times New Roman"/>
          <w:sz w:val="28"/>
          <w:szCs w:val="28"/>
        </w:rPr>
        <w:t xml:space="preserve"> Кировской области</w:t>
      </w:r>
      <w:r w:rsidRPr="00053C7E">
        <w:rPr>
          <w:rFonts w:ascii="Times New Roman" w:hAnsi="Times New Roman" w:cs="Times New Roman"/>
          <w:sz w:val="28"/>
          <w:szCs w:val="28"/>
        </w:rPr>
        <w:t xml:space="preserve"> </w:t>
      </w:r>
      <w:r>
        <w:rPr>
          <w:rFonts w:ascii="Times New Roman" w:hAnsi="Times New Roman" w:cs="Times New Roman"/>
          <w:sz w:val="28"/>
          <w:szCs w:val="28"/>
        </w:rPr>
        <w:t>Трушковой Алены Александровны</w:t>
      </w:r>
      <w:r w:rsidRPr="00053C7E">
        <w:rPr>
          <w:rFonts w:ascii="Times New Roman" w:hAnsi="Times New Roman" w:cs="Times New Roman"/>
          <w:sz w:val="28"/>
          <w:szCs w:val="28"/>
        </w:rPr>
        <w:t xml:space="preserve"> о </w:t>
      </w:r>
      <w:r>
        <w:rPr>
          <w:rFonts w:ascii="Times New Roman" w:hAnsi="Times New Roman" w:cs="Times New Roman"/>
          <w:sz w:val="28"/>
          <w:szCs w:val="28"/>
        </w:rPr>
        <w:t xml:space="preserve">результатах своей деятельности и деятельности </w:t>
      </w:r>
      <w:r w:rsidRPr="00053C7E">
        <w:rPr>
          <w:rFonts w:ascii="Times New Roman" w:hAnsi="Times New Roman" w:cs="Times New Roman"/>
          <w:sz w:val="28"/>
          <w:szCs w:val="28"/>
        </w:rPr>
        <w:t>администрации Яранского района за 20</w:t>
      </w:r>
      <w:r>
        <w:rPr>
          <w:rFonts w:ascii="Times New Roman" w:hAnsi="Times New Roman" w:cs="Times New Roman"/>
          <w:sz w:val="28"/>
          <w:szCs w:val="28"/>
        </w:rPr>
        <w:t>2</w:t>
      </w:r>
      <w:r w:rsidR="00517B72">
        <w:rPr>
          <w:rFonts w:ascii="Times New Roman" w:hAnsi="Times New Roman" w:cs="Times New Roman"/>
          <w:sz w:val="28"/>
          <w:szCs w:val="28"/>
        </w:rPr>
        <w:t>4</w:t>
      </w:r>
      <w:r w:rsidRPr="00053C7E">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00AA75AC" w:rsidRPr="00053C7E">
        <w:rPr>
          <w:rFonts w:ascii="Times New Roman" w:hAnsi="Times New Roman" w:cs="Times New Roman"/>
          <w:sz w:val="28"/>
          <w:szCs w:val="28"/>
        </w:rPr>
        <w:t>Яранская районная Дума РЕШИЛА:</w:t>
      </w:r>
    </w:p>
    <w:p w:rsidR="00AA75AC" w:rsidRDefault="00AA75AC" w:rsidP="00B859C7">
      <w:pPr>
        <w:pStyle w:val="ConsPlusNormal"/>
        <w:widowControl/>
        <w:spacing w:line="360" w:lineRule="exact"/>
        <w:ind w:firstLine="709"/>
        <w:jc w:val="both"/>
        <w:rPr>
          <w:rFonts w:ascii="Times New Roman" w:hAnsi="Times New Roman" w:cs="Times New Roman"/>
          <w:sz w:val="28"/>
          <w:szCs w:val="28"/>
        </w:rPr>
      </w:pPr>
      <w:r w:rsidRPr="00053C7E">
        <w:rPr>
          <w:rFonts w:ascii="Times New Roman" w:hAnsi="Times New Roman" w:cs="Times New Roman"/>
          <w:sz w:val="28"/>
          <w:szCs w:val="28"/>
        </w:rPr>
        <w:t xml:space="preserve">1. </w:t>
      </w:r>
      <w:r w:rsidR="00570BFB">
        <w:rPr>
          <w:rFonts w:ascii="Times New Roman" w:hAnsi="Times New Roman" w:cs="Times New Roman"/>
          <w:sz w:val="28"/>
          <w:szCs w:val="28"/>
        </w:rPr>
        <w:t>Утвердить отчет</w:t>
      </w:r>
      <w:r>
        <w:rPr>
          <w:rFonts w:ascii="Times New Roman" w:hAnsi="Times New Roman" w:cs="Times New Roman"/>
          <w:sz w:val="28"/>
          <w:szCs w:val="28"/>
        </w:rPr>
        <w:t xml:space="preserve"> главы </w:t>
      </w:r>
      <w:r w:rsidR="00134CE7">
        <w:rPr>
          <w:rFonts w:ascii="Times New Roman" w:hAnsi="Times New Roman" w:cs="Times New Roman"/>
          <w:sz w:val="28"/>
          <w:szCs w:val="28"/>
        </w:rPr>
        <w:t xml:space="preserve">муниципального образования Яранский </w:t>
      </w:r>
      <w:r w:rsidR="003C09A4">
        <w:rPr>
          <w:rFonts w:ascii="Times New Roman" w:hAnsi="Times New Roman" w:cs="Times New Roman"/>
          <w:sz w:val="28"/>
          <w:szCs w:val="28"/>
        </w:rPr>
        <w:t xml:space="preserve">муниципальный </w:t>
      </w:r>
      <w:r w:rsidR="003C09A4" w:rsidRPr="00053C7E">
        <w:rPr>
          <w:rFonts w:ascii="Times New Roman" w:hAnsi="Times New Roman" w:cs="Times New Roman"/>
          <w:sz w:val="28"/>
          <w:szCs w:val="28"/>
        </w:rPr>
        <w:t>район</w:t>
      </w:r>
      <w:r w:rsidR="00134CE7">
        <w:rPr>
          <w:rFonts w:ascii="Times New Roman" w:hAnsi="Times New Roman" w:cs="Times New Roman"/>
          <w:sz w:val="28"/>
          <w:szCs w:val="28"/>
        </w:rPr>
        <w:t xml:space="preserve"> Кировской области</w:t>
      </w:r>
      <w:r w:rsidR="00570BFB">
        <w:rPr>
          <w:rFonts w:ascii="Times New Roman" w:hAnsi="Times New Roman" w:cs="Times New Roman"/>
          <w:sz w:val="28"/>
          <w:szCs w:val="28"/>
        </w:rPr>
        <w:t xml:space="preserve"> о своей деятельности и </w:t>
      </w:r>
      <w:r w:rsidR="00570BFB" w:rsidRPr="00053C7E">
        <w:rPr>
          <w:rFonts w:ascii="Times New Roman" w:hAnsi="Times New Roman" w:cs="Times New Roman"/>
          <w:sz w:val="28"/>
          <w:szCs w:val="28"/>
        </w:rPr>
        <w:t>деятельности</w:t>
      </w:r>
      <w:r w:rsidR="00570BFB">
        <w:rPr>
          <w:rFonts w:ascii="Times New Roman" w:hAnsi="Times New Roman" w:cs="Times New Roman"/>
          <w:sz w:val="28"/>
          <w:szCs w:val="28"/>
        </w:rPr>
        <w:t xml:space="preserve"> </w:t>
      </w:r>
      <w:r w:rsidRPr="00053C7E">
        <w:rPr>
          <w:rFonts w:ascii="Times New Roman" w:hAnsi="Times New Roman" w:cs="Times New Roman"/>
          <w:sz w:val="28"/>
          <w:szCs w:val="28"/>
        </w:rPr>
        <w:t>администрации Яранского района за 20</w:t>
      </w:r>
      <w:r w:rsidR="00C8417E">
        <w:rPr>
          <w:rFonts w:ascii="Times New Roman" w:hAnsi="Times New Roman" w:cs="Times New Roman"/>
          <w:sz w:val="28"/>
          <w:szCs w:val="28"/>
        </w:rPr>
        <w:t>2</w:t>
      </w:r>
      <w:r w:rsidR="00517B72">
        <w:rPr>
          <w:rFonts w:ascii="Times New Roman" w:hAnsi="Times New Roman" w:cs="Times New Roman"/>
          <w:sz w:val="28"/>
          <w:szCs w:val="28"/>
        </w:rPr>
        <w:t>4</w:t>
      </w:r>
      <w:r>
        <w:rPr>
          <w:rFonts w:ascii="Times New Roman" w:hAnsi="Times New Roman" w:cs="Times New Roman"/>
          <w:sz w:val="28"/>
          <w:szCs w:val="28"/>
        </w:rPr>
        <w:t xml:space="preserve"> год</w:t>
      </w:r>
      <w:r w:rsidR="00570BFB">
        <w:rPr>
          <w:rFonts w:ascii="Times New Roman" w:hAnsi="Times New Roman" w:cs="Times New Roman"/>
          <w:sz w:val="28"/>
          <w:szCs w:val="28"/>
        </w:rPr>
        <w:t xml:space="preserve"> с оценкой удовлетворительно</w:t>
      </w:r>
      <w:r w:rsidRPr="00053C7E">
        <w:rPr>
          <w:rFonts w:ascii="Times New Roman" w:hAnsi="Times New Roman" w:cs="Times New Roman"/>
          <w:sz w:val="28"/>
          <w:szCs w:val="28"/>
        </w:rPr>
        <w:t xml:space="preserve">. </w:t>
      </w:r>
      <w:r w:rsidR="00570BFB">
        <w:rPr>
          <w:rFonts w:ascii="Times New Roman" w:hAnsi="Times New Roman" w:cs="Times New Roman"/>
          <w:sz w:val="28"/>
          <w:szCs w:val="28"/>
        </w:rPr>
        <w:t>П</w:t>
      </w:r>
      <w:r w:rsidRPr="00053C7E">
        <w:rPr>
          <w:rFonts w:ascii="Times New Roman" w:hAnsi="Times New Roman" w:cs="Times New Roman"/>
          <w:sz w:val="28"/>
          <w:szCs w:val="28"/>
        </w:rPr>
        <w:t>рилагается.</w:t>
      </w:r>
    </w:p>
    <w:p w:rsidR="00AA75AC" w:rsidRPr="00570BFB" w:rsidRDefault="00AA75AC" w:rsidP="00B859C7">
      <w:pPr>
        <w:pStyle w:val="ConsPlusNormal"/>
        <w:widowControl/>
        <w:spacing w:line="360" w:lineRule="exact"/>
        <w:ind w:firstLine="709"/>
        <w:jc w:val="both"/>
        <w:rPr>
          <w:rFonts w:ascii="Times New Roman" w:hAnsi="Times New Roman" w:cs="Times New Roman"/>
          <w:sz w:val="28"/>
          <w:szCs w:val="28"/>
        </w:rPr>
      </w:pPr>
      <w:r w:rsidRPr="00053C7E">
        <w:rPr>
          <w:rFonts w:ascii="Times New Roman" w:hAnsi="Times New Roman" w:cs="Times New Roman"/>
          <w:sz w:val="28"/>
          <w:szCs w:val="28"/>
        </w:rPr>
        <w:t xml:space="preserve">2. Опубликовать настоящее решение в </w:t>
      </w:r>
      <w:r w:rsidRPr="00517B72">
        <w:rPr>
          <w:rFonts w:ascii="Times New Roman" w:hAnsi="Times New Roman" w:cs="Times New Roman"/>
          <w:sz w:val="28"/>
          <w:szCs w:val="28"/>
        </w:rPr>
        <w:t>Информационном бюллетене органов местного самоуправления Яранского муниципального района,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w:t>
      </w:r>
      <w:r w:rsidR="00517B72" w:rsidRPr="00517B72">
        <w:rPr>
          <w:rFonts w:ascii="Times New Roman" w:hAnsi="Times New Roman" w:cs="Times New Roman"/>
          <w:sz w:val="28"/>
          <w:szCs w:val="28"/>
          <w:shd w:val="clear" w:color="auto" w:fill="FFFFFF"/>
        </w:rPr>
        <w:t xml:space="preserve"> </w:t>
      </w:r>
      <w:hyperlink r:id="rId10" w:history="1">
        <w:r w:rsidR="00517B72" w:rsidRPr="00570BFB">
          <w:rPr>
            <w:rStyle w:val="af6"/>
            <w:rFonts w:ascii="Times New Roman" w:hAnsi="Times New Roman" w:cs="Times New Roman"/>
            <w:color w:val="auto"/>
            <w:sz w:val="28"/>
            <w:szCs w:val="28"/>
            <w:u w:val="none"/>
          </w:rPr>
          <w:t>https://yaransk-r43.gosweb.gosuslugi.ru</w:t>
        </w:r>
      </w:hyperlink>
      <w:r w:rsidRPr="00570BFB">
        <w:rPr>
          <w:rFonts w:ascii="Times New Roman" w:hAnsi="Times New Roman" w:cs="Times New Roman"/>
          <w:sz w:val="28"/>
          <w:szCs w:val="28"/>
        </w:rPr>
        <w:t>.</w:t>
      </w:r>
    </w:p>
    <w:tbl>
      <w:tblPr>
        <w:tblW w:w="9889" w:type="dxa"/>
        <w:tblLook w:val="01E0" w:firstRow="1" w:lastRow="1" w:firstColumn="1" w:lastColumn="1" w:noHBand="0" w:noVBand="0"/>
      </w:tblPr>
      <w:tblGrid>
        <w:gridCol w:w="4962"/>
        <w:gridCol w:w="91"/>
        <w:gridCol w:w="193"/>
        <w:gridCol w:w="4109"/>
        <w:gridCol w:w="534"/>
      </w:tblGrid>
      <w:tr w:rsidR="00517B72" w:rsidRPr="00517B72" w:rsidTr="00962E48">
        <w:trPr>
          <w:gridAfter w:val="1"/>
          <w:wAfter w:w="534" w:type="dxa"/>
          <w:trHeight w:val="80"/>
        </w:trPr>
        <w:tc>
          <w:tcPr>
            <w:tcW w:w="5053" w:type="dxa"/>
            <w:gridSpan w:val="2"/>
            <w:shd w:val="clear" w:color="auto" w:fill="auto"/>
          </w:tcPr>
          <w:p w:rsidR="00AA75AC" w:rsidRPr="00517B72" w:rsidRDefault="00AA75AC" w:rsidP="006A7E47">
            <w:pPr>
              <w:tabs>
                <w:tab w:val="left" w:pos="15"/>
                <w:tab w:val="left" w:pos="1095"/>
              </w:tabs>
              <w:spacing w:after="0" w:line="240" w:lineRule="auto"/>
              <w:jc w:val="both"/>
              <w:rPr>
                <w:rFonts w:ascii="Times New Roman" w:hAnsi="Times New Roman" w:cs="Times New Roman"/>
                <w:sz w:val="28"/>
                <w:szCs w:val="28"/>
              </w:rPr>
            </w:pPr>
          </w:p>
          <w:p w:rsidR="00962E48" w:rsidRPr="00517B72" w:rsidRDefault="00962E48" w:rsidP="006A7E47">
            <w:pPr>
              <w:tabs>
                <w:tab w:val="left" w:pos="15"/>
                <w:tab w:val="left" w:pos="1095"/>
              </w:tabs>
              <w:spacing w:after="0" w:line="240" w:lineRule="auto"/>
              <w:jc w:val="both"/>
              <w:rPr>
                <w:rFonts w:ascii="Times New Roman" w:hAnsi="Times New Roman" w:cs="Times New Roman"/>
                <w:sz w:val="28"/>
                <w:szCs w:val="28"/>
              </w:rPr>
            </w:pPr>
          </w:p>
        </w:tc>
        <w:tc>
          <w:tcPr>
            <w:tcW w:w="4302" w:type="dxa"/>
            <w:gridSpan w:val="2"/>
            <w:shd w:val="clear" w:color="auto" w:fill="auto"/>
          </w:tcPr>
          <w:p w:rsidR="00AA75AC" w:rsidRPr="00517B72" w:rsidRDefault="00AA75AC" w:rsidP="00AA75AC">
            <w:pPr>
              <w:tabs>
                <w:tab w:val="left" w:pos="15"/>
                <w:tab w:val="left" w:pos="1095"/>
              </w:tabs>
              <w:spacing w:after="0" w:line="240" w:lineRule="auto"/>
              <w:jc w:val="both"/>
              <w:rPr>
                <w:rFonts w:ascii="Times New Roman" w:hAnsi="Times New Roman" w:cs="Times New Roman"/>
                <w:sz w:val="28"/>
                <w:szCs w:val="28"/>
              </w:rPr>
            </w:pPr>
          </w:p>
        </w:tc>
      </w:tr>
      <w:tr w:rsidR="00962E48" w:rsidRPr="006A71EA" w:rsidTr="00962E48">
        <w:tblPrEx>
          <w:tblLook w:val="0000" w:firstRow="0" w:lastRow="0" w:firstColumn="0" w:lastColumn="0" w:noHBand="0" w:noVBand="0"/>
        </w:tblPrEx>
        <w:trPr>
          <w:trHeight w:val="581"/>
        </w:trPr>
        <w:tc>
          <w:tcPr>
            <w:tcW w:w="4962" w:type="dxa"/>
          </w:tcPr>
          <w:p w:rsidR="00962E48" w:rsidRPr="00962E48" w:rsidRDefault="00962E48" w:rsidP="00962E48">
            <w:pPr>
              <w:spacing w:after="0" w:line="240" w:lineRule="auto"/>
              <w:rPr>
                <w:rFonts w:ascii="Times New Roman" w:hAnsi="Times New Roman" w:cs="Times New Roman"/>
                <w:sz w:val="28"/>
                <w:szCs w:val="28"/>
              </w:rPr>
            </w:pPr>
            <w:r w:rsidRPr="00962E48">
              <w:rPr>
                <w:rFonts w:ascii="Times New Roman" w:hAnsi="Times New Roman" w:cs="Times New Roman"/>
                <w:sz w:val="28"/>
                <w:szCs w:val="28"/>
              </w:rPr>
              <w:t>Председатель</w:t>
            </w:r>
          </w:p>
          <w:p w:rsidR="00962E48" w:rsidRPr="00962E48" w:rsidRDefault="00962E48" w:rsidP="00962E48">
            <w:pPr>
              <w:spacing w:after="0" w:line="240" w:lineRule="auto"/>
              <w:rPr>
                <w:rFonts w:ascii="Times New Roman" w:hAnsi="Times New Roman" w:cs="Times New Roman"/>
                <w:sz w:val="28"/>
                <w:szCs w:val="28"/>
              </w:rPr>
            </w:pPr>
            <w:r w:rsidRPr="00962E48">
              <w:rPr>
                <w:rFonts w:ascii="Times New Roman" w:hAnsi="Times New Roman" w:cs="Times New Roman"/>
                <w:sz w:val="28"/>
                <w:szCs w:val="28"/>
              </w:rPr>
              <w:t>Яранской районной Думы</w:t>
            </w:r>
          </w:p>
          <w:p w:rsidR="00962E48" w:rsidRPr="00962E48" w:rsidRDefault="00962E48" w:rsidP="00962E48">
            <w:pPr>
              <w:spacing w:after="0" w:line="240" w:lineRule="auto"/>
              <w:rPr>
                <w:rFonts w:ascii="Times New Roman" w:hAnsi="Times New Roman" w:cs="Times New Roman"/>
                <w:sz w:val="28"/>
                <w:szCs w:val="28"/>
              </w:rPr>
            </w:pPr>
          </w:p>
          <w:p w:rsidR="00962E48" w:rsidRPr="00962E48" w:rsidRDefault="00962E48" w:rsidP="00962E48">
            <w:pPr>
              <w:spacing w:after="0" w:line="240" w:lineRule="auto"/>
              <w:rPr>
                <w:rFonts w:ascii="Times New Roman" w:hAnsi="Times New Roman" w:cs="Times New Roman"/>
                <w:sz w:val="28"/>
                <w:szCs w:val="28"/>
              </w:rPr>
            </w:pPr>
            <w:r w:rsidRPr="00962E48">
              <w:rPr>
                <w:rFonts w:ascii="Times New Roman" w:hAnsi="Times New Roman" w:cs="Times New Roman"/>
                <w:sz w:val="28"/>
                <w:szCs w:val="28"/>
              </w:rPr>
              <w:t xml:space="preserve">                                       </w:t>
            </w:r>
          </w:p>
          <w:p w:rsidR="00962E48" w:rsidRPr="00962E48" w:rsidRDefault="00962E48" w:rsidP="00962E48">
            <w:pPr>
              <w:spacing w:after="0" w:line="240" w:lineRule="auto"/>
              <w:rPr>
                <w:rFonts w:ascii="Times New Roman" w:hAnsi="Times New Roman" w:cs="Times New Roman"/>
                <w:sz w:val="28"/>
                <w:szCs w:val="28"/>
              </w:rPr>
            </w:pPr>
            <w:r w:rsidRPr="00962E48">
              <w:rPr>
                <w:rFonts w:ascii="Times New Roman" w:hAnsi="Times New Roman" w:cs="Times New Roman"/>
                <w:sz w:val="28"/>
                <w:szCs w:val="28"/>
              </w:rPr>
              <w:t xml:space="preserve">                                    Л.П. Белоусова</w:t>
            </w:r>
          </w:p>
        </w:tc>
        <w:tc>
          <w:tcPr>
            <w:tcW w:w="284" w:type="dxa"/>
            <w:gridSpan w:val="2"/>
          </w:tcPr>
          <w:p w:rsidR="00962E48" w:rsidRPr="00962E48" w:rsidRDefault="00962E48" w:rsidP="00962E48">
            <w:pPr>
              <w:spacing w:after="0" w:line="240" w:lineRule="auto"/>
              <w:rPr>
                <w:rFonts w:ascii="Times New Roman" w:hAnsi="Times New Roman" w:cs="Times New Roman"/>
                <w:sz w:val="28"/>
                <w:szCs w:val="28"/>
              </w:rPr>
            </w:pPr>
          </w:p>
        </w:tc>
        <w:tc>
          <w:tcPr>
            <w:tcW w:w="4643" w:type="dxa"/>
            <w:gridSpan w:val="2"/>
          </w:tcPr>
          <w:p w:rsidR="00962E48" w:rsidRPr="00962E48" w:rsidRDefault="00962E48" w:rsidP="00962E48">
            <w:pPr>
              <w:snapToGrid w:val="0"/>
              <w:spacing w:after="0" w:line="240" w:lineRule="auto"/>
              <w:ind w:right="-108"/>
              <w:rPr>
                <w:rFonts w:ascii="Times New Roman" w:hAnsi="Times New Roman" w:cs="Times New Roman"/>
                <w:sz w:val="28"/>
                <w:szCs w:val="28"/>
              </w:rPr>
            </w:pPr>
            <w:r w:rsidRPr="00962E48">
              <w:rPr>
                <w:rFonts w:ascii="Times New Roman" w:hAnsi="Times New Roman" w:cs="Times New Roman"/>
                <w:sz w:val="28"/>
                <w:szCs w:val="28"/>
              </w:rPr>
              <w:t xml:space="preserve">Глава </w:t>
            </w:r>
          </w:p>
          <w:p w:rsidR="00962E48" w:rsidRPr="00962E48" w:rsidRDefault="00962E48" w:rsidP="00962E48">
            <w:pPr>
              <w:snapToGrid w:val="0"/>
              <w:spacing w:after="0" w:line="240" w:lineRule="auto"/>
              <w:ind w:right="-108"/>
              <w:rPr>
                <w:rFonts w:ascii="Times New Roman" w:hAnsi="Times New Roman" w:cs="Times New Roman"/>
                <w:sz w:val="28"/>
                <w:szCs w:val="28"/>
              </w:rPr>
            </w:pPr>
            <w:r w:rsidRPr="00962E48">
              <w:rPr>
                <w:rFonts w:ascii="Times New Roman" w:hAnsi="Times New Roman" w:cs="Times New Roman"/>
                <w:sz w:val="28"/>
                <w:szCs w:val="28"/>
              </w:rPr>
              <w:t>Яранского района</w:t>
            </w:r>
          </w:p>
          <w:p w:rsidR="00962E48" w:rsidRPr="00962E48" w:rsidRDefault="00962E48" w:rsidP="00962E48">
            <w:pPr>
              <w:spacing w:after="0" w:line="240" w:lineRule="auto"/>
              <w:ind w:left="180"/>
              <w:jc w:val="right"/>
              <w:rPr>
                <w:rFonts w:ascii="Times New Roman" w:hAnsi="Times New Roman" w:cs="Times New Roman"/>
                <w:sz w:val="28"/>
                <w:szCs w:val="28"/>
              </w:rPr>
            </w:pPr>
            <w:r w:rsidRPr="00962E48">
              <w:rPr>
                <w:rFonts w:ascii="Times New Roman" w:hAnsi="Times New Roman" w:cs="Times New Roman"/>
                <w:sz w:val="28"/>
                <w:szCs w:val="28"/>
              </w:rPr>
              <w:t xml:space="preserve">                       </w:t>
            </w:r>
          </w:p>
          <w:p w:rsidR="00962E48" w:rsidRPr="00962E48" w:rsidRDefault="00962E48" w:rsidP="00962E48">
            <w:pPr>
              <w:spacing w:after="0" w:line="240" w:lineRule="auto"/>
              <w:ind w:left="180"/>
              <w:jc w:val="right"/>
              <w:rPr>
                <w:rFonts w:ascii="Times New Roman" w:hAnsi="Times New Roman" w:cs="Times New Roman"/>
                <w:sz w:val="28"/>
                <w:szCs w:val="28"/>
              </w:rPr>
            </w:pPr>
          </w:p>
          <w:p w:rsidR="00962E48" w:rsidRPr="00962E48" w:rsidRDefault="00962E48" w:rsidP="00962E48">
            <w:pPr>
              <w:spacing w:after="0" w:line="240" w:lineRule="auto"/>
              <w:ind w:left="180"/>
              <w:jc w:val="right"/>
              <w:rPr>
                <w:rFonts w:ascii="Times New Roman" w:hAnsi="Times New Roman" w:cs="Times New Roman"/>
                <w:sz w:val="28"/>
                <w:szCs w:val="28"/>
              </w:rPr>
            </w:pPr>
            <w:r w:rsidRPr="00962E48">
              <w:rPr>
                <w:rFonts w:ascii="Times New Roman" w:hAnsi="Times New Roman" w:cs="Times New Roman"/>
                <w:sz w:val="28"/>
                <w:szCs w:val="28"/>
              </w:rPr>
              <w:t>А.А. Трушкова</w:t>
            </w:r>
          </w:p>
        </w:tc>
      </w:tr>
    </w:tbl>
    <w:p w:rsidR="00AA75AC" w:rsidRDefault="00AA75AC" w:rsidP="00AA75AC">
      <w:pPr>
        <w:spacing w:after="0"/>
        <w:rPr>
          <w:rFonts w:ascii="Times New Roman" w:hAnsi="Times New Roman" w:cs="Times New Roman"/>
          <w:b/>
          <w:sz w:val="28"/>
          <w:szCs w:val="28"/>
        </w:rPr>
      </w:pPr>
    </w:p>
    <w:p w:rsidR="006A7E47" w:rsidRDefault="006A7E47" w:rsidP="006A7E47">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6A7E47" w:rsidRDefault="006A7E47" w:rsidP="006A7E47">
      <w:pPr>
        <w:spacing w:after="0"/>
        <w:jc w:val="center"/>
        <w:rPr>
          <w:rFonts w:ascii="Times New Roman" w:hAnsi="Times New Roman" w:cs="Times New Roman"/>
          <w:sz w:val="28"/>
          <w:szCs w:val="28"/>
        </w:rPr>
      </w:pPr>
    </w:p>
    <w:p w:rsidR="00AA75AC" w:rsidRPr="00855EC6" w:rsidRDefault="006A7E47" w:rsidP="00BB315D">
      <w:pPr>
        <w:spacing w:after="0" w:line="240" w:lineRule="auto"/>
        <w:ind w:left="4678"/>
        <w:rPr>
          <w:rFonts w:ascii="Times New Roman" w:hAnsi="Times New Roman" w:cs="Times New Roman"/>
          <w:sz w:val="28"/>
          <w:szCs w:val="28"/>
        </w:rPr>
      </w:pPr>
      <w:r w:rsidRPr="00855EC6">
        <w:rPr>
          <w:rFonts w:ascii="Times New Roman" w:hAnsi="Times New Roman" w:cs="Times New Roman"/>
          <w:sz w:val="28"/>
          <w:szCs w:val="28"/>
        </w:rPr>
        <w:lastRenderedPageBreak/>
        <w:t>Приложение</w:t>
      </w:r>
    </w:p>
    <w:p w:rsidR="006A7E47" w:rsidRDefault="006A7E47" w:rsidP="00BB315D">
      <w:pPr>
        <w:spacing w:after="0" w:line="240" w:lineRule="auto"/>
        <w:ind w:left="4678"/>
        <w:rPr>
          <w:rFonts w:ascii="Times New Roman" w:hAnsi="Times New Roman" w:cs="Times New Roman"/>
          <w:sz w:val="28"/>
          <w:szCs w:val="28"/>
        </w:rPr>
      </w:pPr>
      <w:r w:rsidRPr="00855EC6">
        <w:rPr>
          <w:rFonts w:ascii="Times New Roman" w:hAnsi="Times New Roman" w:cs="Times New Roman"/>
          <w:sz w:val="28"/>
          <w:szCs w:val="28"/>
        </w:rPr>
        <w:t>к решению Яранской районной Думы</w:t>
      </w:r>
    </w:p>
    <w:p w:rsidR="006A7E47" w:rsidRPr="00855EC6" w:rsidRDefault="00CF689A" w:rsidP="00BB315D">
      <w:pPr>
        <w:spacing w:after="0" w:line="240" w:lineRule="auto"/>
        <w:ind w:left="4678"/>
        <w:rPr>
          <w:rFonts w:ascii="Times New Roman" w:hAnsi="Times New Roman" w:cs="Times New Roman"/>
          <w:sz w:val="28"/>
          <w:szCs w:val="28"/>
        </w:rPr>
      </w:pPr>
      <w:r w:rsidRPr="00855EC6">
        <w:rPr>
          <w:rFonts w:ascii="Times New Roman" w:hAnsi="Times New Roman" w:cs="Times New Roman"/>
          <w:sz w:val="28"/>
          <w:szCs w:val="28"/>
        </w:rPr>
        <w:t xml:space="preserve">от </w:t>
      </w:r>
      <w:r w:rsidR="009B3C65">
        <w:rPr>
          <w:rFonts w:ascii="Times New Roman" w:hAnsi="Times New Roman" w:cs="Times New Roman"/>
          <w:sz w:val="28"/>
          <w:szCs w:val="28"/>
        </w:rPr>
        <w:t>26.02.2025</w:t>
      </w:r>
      <w:r w:rsidR="00855EC6">
        <w:rPr>
          <w:rFonts w:ascii="Times New Roman" w:hAnsi="Times New Roman" w:cs="Times New Roman"/>
          <w:sz w:val="28"/>
          <w:szCs w:val="28"/>
        </w:rPr>
        <w:t xml:space="preserve"> </w:t>
      </w:r>
      <w:r w:rsidR="00403C9C">
        <w:rPr>
          <w:rFonts w:ascii="Times New Roman" w:hAnsi="Times New Roman" w:cs="Times New Roman"/>
          <w:sz w:val="28"/>
          <w:szCs w:val="28"/>
        </w:rPr>
        <w:t xml:space="preserve">№ </w:t>
      </w:r>
      <w:r w:rsidR="009B3C65">
        <w:rPr>
          <w:rFonts w:ascii="Times New Roman" w:hAnsi="Times New Roman" w:cs="Times New Roman"/>
          <w:sz w:val="28"/>
          <w:szCs w:val="28"/>
        </w:rPr>
        <w:t>255</w:t>
      </w:r>
    </w:p>
    <w:p w:rsidR="006A7E47" w:rsidRPr="00855EC6" w:rsidRDefault="006A7E47" w:rsidP="006A7E47">
      <w:pPr>
        <w:spacing w:after="0"/>
        <w:jc w:val="center"/>
        <w:rPr>
          <w:rFonts w:ascii="Times New Roman" w:hAnsi="Times New Roman" w:cs="Times New Roman"/>
          <w:sz w:val="28"/>
          <w:szCs w:val="28"/>
        </w:rPr>
      </w:pPr>
    </w:p>
    <w:p w:rsidR="00C4417C" w:rsidRPr="00C4417C" w:rsidRDefault="0062526C" w:rsidP="00C4417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DE0BB1">
        <w:rPr>
          <w:rFonts w:ascii="Times New Roman" w:hAnsi="Times New Roman" w:cs="Times New Roman"/>
          <w:b/>
          <w:sz w:val="28"/>
          <w:szCs w:val="28"/>
        </w:rPr>
        <w:t>ОТЧЁТ</w:t>
      </w:r>
    </w:p>
    <w:p w:rsidR="00855EC6" w:rsidRDefault="00D33270" w:rsidP="00DE0BB1">
      <w:pPr>
        <w:spacing w:after="0"/>
        <w:jc w:val="center"/>
        <w:rPr>
          <w:rFonts w:ascii="Times New Roman" w:hAnsi="Times New Roman" w:cs="Times New Roman"/>
          <w:b/>
          <w:sz w:val="28"/>
          <w:szCs w:val="28"/>
        </w:rPr>
      </w:pPr>
      <w:r>
        <w:rPr>
          <w:rFonts w:ascii="Times New Roman" w:hAnsi="Times New Roman" w:cs="Times New Roman"/>
          <w:b/>
          <w:sz w:val="28"/>
          <w:szCs w:val="28"/>
        </w:rPr>
        <w:t>ГЛАВЫ ЯРАНСКОГО РАЙОНА</w:t>
      </w:r>
      <w:r w:rsidR="00DE0BB1">
        <w:rPr>
          <w:rFonts w:ascii="Times New Roman" w:hAnsi="Times New Roman" w:cs="Times New Roman"/>
          <w:b/>
          <w:sz w:val="28"/>
          <w:szCs w:val="28"/>
        </w:rPr>
        <w:t xml:space="preserve"> О РЕЗУЛЬТАТАХ СВОЕЙ ДЕЯТЕЛЬНОСТИ И О РЕЗУЛЬТАТАХ ДЕЯТЕЛЬНОСТИ АДМИНИСТРАЦИИ ЯРАНСКОГО РАЙОНА ЗА</w:t>
      </w:r>
      <w:r w:rsidR="00C4417C" w:rsidRPr="00C4417C">
        <w:rPr>
          <w:rFonts w:ascii="Times New Roman" w:hAnsi="Times New Roman" w:cs="Times New Roman"/>
          <w:b/>
          <w:sz w:val="28"/>
          <w:szCs w:val="28"/>
        </w:rPr>
        <w:t xml:space="preserve"> </w:t>
      </w:r>
      <w:r w:rsidR="00DE0BB1">
        <w:rPr>
          <w:rFonts w:ascii="Times New Roman" w:hAnsi="Times New Roman" w:cs="Times New Roman"/>
          <w:b/>
          <w:sz w:val="28"/>
          <w:szCs w:val="28"/>
        </w:rPr>
        <w:t>202</w:t>
      </w:r>
      <w:r>
        <w:rPr>
          <w:rFonts w:ascii="Times New Roman" w:hAnsi="Times New Roman" w:cs="Times New Roman"/>
          <w:b/>
          <w:sz w:val="28"/>
          <w:szCs w:val="28"/>
        </w:rPr>
        <w:t>4</w:t>
      </w:r>
      <w:r w:rsidR="00DE0BB1">
        <w:rPr>
          <w:rFonts w:ascii="Times New Roman" w:hAnsi="Times New Roman" w:cs="Times New Roman"/>
          <w:b/>
          <w:sz w:val="28"/>
          <w:szCs w:val="28"/>
        </w:rPr>
        <w:t xml:space="preserve"> ГОД</w:t>
      </w:r>
    </w:p>
    <w:p w:rsidR="00855EC6" w:rsidRDefault="00855EC6" w:rsidP="00855EC6">
      <w:pPr>
        <w:spacing w:after="0" w:line="240" w:lineRule="auto"/>
        <w:jc w:val="center"/>
        <w:rPr>
          <w:rFonts w:ascii="Times New Roman" w:hAnsi="Times New Roman" w:cs="Times New Roman"/>
          <w:b/>
          <w:sz w:val="28"/>
          <w:szCs w:val="28"/>
        </w:rPr>
      </w:pPr>
    </w:p>
    <w:p w:rsidR="006E7423" w:rsidRPr="006E7423" w:rsidRDefault="006E7423" w:rsidP="006E7423">
      <w:pPr>
        <w:jc w:val="center"/>
        <w:rPr>
          <w:rFonts w:ascii="Times New Roman" w:hAnsi="Times New Roman" w:cs="Times New Roman"/>
          <w:b/>
          <w:sz w:val="28"/>
          <w:szCs w:val="28"/>
        </w:rPr>
      </w:pPr>
      <w:r w:rsidRPr="006E7423">
        <w:rPr>
          <w:rFonts w:ascii="Times New Roman" w:hAnsi="Times New Roman" w:cs="Times New Roman"/>
          <w:b/>
          <w:sz w:val="28"/>
          <w:szCs w:val="28"/>
        </w:rPr>
        <w:t>Уважаемые депутаты!</w:t>
      </w:r>
    </w:p>
    <w:p w:rsidR="0011707A" w:rsidRPr="003218C0" w:rsidRDefault="0011707A" w:rsidP="003218C0">
      <w:pPr>
        <w:spacing w:after="0" w:line="360" w:lineRule="exact"/>
        <w:ind w:firstLine="709"/>
        <w:jc w:val="both"/>
        <w:rPr>
          <w:rFonts w:ascii="Times New Roman" w:hAnsi="Times New Roman" w:cs="Times New Roman"/>
          <w:sz w:val="28"/>
          <w:szCs w:val="28"/>
        </w:rPr>
      </w:pPr>
      <w:r w:rsidRPr="003218C0">
        <w:rPr>
          <w:rFonts w:ascii="Times New Roman" w:hAnsi="Times New Roman" w:cs="Times New Roman"/>
          <w:sz w:val="28"/>
          <w:szCs w:val="28"/>
        </w:rPr>
        <w:t>Прошел очередной год и сегодня я предлагаю Вашему вниманию отчет о том, какая работа была проведена в 2024, какие результаты были достигнуты, какие существуют проблемы и стоят задачи по их решению на предстоящий период.</w:t>
      </w:r>
    </w:p>
    <w:p w:rsidR="003218C0" w:rsidRPr="003218C0" w:rsidRDefault="003218C0" w:rsidP="003218C0">
      <w:pPr>
        <w:pStyle w:val="12"/>
        <w:spacing w:line="360" w:lineRule="exact"/>
        <w:ind w:firstLine="709"/>
        <w:rPr>
          <w:rFonts w:ascii="Times New Roman" w:hAnsi="Times New Roman" w:cs="Times New Roman"/>
          <w:sz w:val="28"/>
          <w:szCs w:val="28"/>
        </w:rPr>
      </w:pPr>
      <w:r w:rsidRPr="003218C0">
        <w:rPr>
          <w:rFonts w:ascii="Times New Roman" w:hAnsi="Times New Roman" w:cs="Times New Roman"/>
          <w:sz w:val="28"/>
          <w:szCs w:val="28"/>
        </w:rPr>
        <w:t xml:space="preserve">Информация о деятельности главы района, администрации района в целях её доступности и открытости размещается на официальном сайте, на официальных страницах в социальных сетях и телеграмм-канале, в том числе и на личной странице главы района. </w:t>
      </w:r>
    </w:p>
    <w:p w:rsidR="003218C0" w:rsidRPr="003218C0" w:rsidRDefault="003218C0" w:rsidP="003218C0">
      <w:pPr>
        <w:pStyle w:val="12"/>
        <w:spacing w:line="360" w:lineRule="exact"/>
        <w:ind w:firstLine="709"/>
        <w:rPr>
          <w:rFonts w:ascii="Times New Roman" w:hAnsi="Times New Roman" w:cs="Times New Roman"/>
          <w:sz w:val="28"/>
          <w:szCs w:val="28"/>
        </w:rPr>
      </w:pPr>
      <w:r w:rsidRPr="003218C0">
        <w:rPr>
          <w:rFonts w:ascii="Times New Roman" w:hAnsi="Times New Roman" w:cs="Times New Roman"/>
          <w:sz w:val="28"/>
          <w:szCs w:val="28"/>
        </w:rPr>
        <w:t>Люди хотят получать информацию там, где это им удобно, поэтому количество ресурсов в интернете увеличилось. Следующий шаг — рост их качества. Чтобы люди понимали, где есть актуальная, достоверная информация, а где — преднамеренная дезинформация, которая обычно всегда направлена на подрыв общественной стабильности.</w:t>
      </w:r>
    </w:p>
    <w:p w:rsidR="003218C0" w:rsidRPr="003218C0" w:rsidRDefault="003218C0" w:rsidP="003218C0">
      <w:pPr>
        <w:pStyle w:val="12"/>
        <w:spacing w:line="360" w:lineRule="exact"/>
        <w:ind w:firstLine="709"/>
        <w:rPr>
          <w:rFonts w:ascii="Times New Roman" w:hAnsi="Times New Roman" w:cs="Times New Roman"/>
          <w:sz w:val="28"/>
          <w:szCs w:val="28"/>
        </w:rPr>
      </w:pPr>
      <w:r w:rsidRPr="003218C0">
        <w:rPr>
          <w:rFonts w:ascii="Times New Roman" w:hAnsi="Times New Roman" w:cs="Times New Roman"/>
          <w:sz w:val="28"/>
          <w:szCs w:val="28"/>
        </w:rPr>
        <w:t>Созданы официальные страницы в социальных сетях 11 органов местного самоуправления, 11 представительных органов и 24 учреждений. 46 сайтов размещены на государственной платформе «ГосВеб».</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По решению Президента РФ в каждом субъекте страны созданы центры управления регионом, основное внимание которых уделяется мониторингу обращений граждан в социальных сетях. Задача — более быстрое реагирование на «вызовы» граждан. Это важное связующее звено коммуникации с гражданами. В течение года по локации «Яранский район» поступило 1248 обращений граждан через систему «Инцидент-Менеджмент». С помощью «Платформы обратной связи» любой житель, зарегистрированный на портале Госуслуги, может сообщить о проблеме в мобильном приложении системы и проследить за ходом её решения. Основные темы, с которыми обращаются граждане, это жилищно-коммунальное хозяйство, дороги, вывоз ТКО и другие. Мы слышим жителей и корректируем свою работу.</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Продолжают поступать в администрацию района и письменные обращения, за год их было 57. Также 183 обращения поступили в сельские поселения. Администрацией Яранского района все обращения размещены на информационном ресурсе «Общероссийский личный приём» (</w:t>
      </w:r>
      <w:r w:rsidRPr="003218C0">
        <w:rPr>
          <w:rFonts w:ascii="Times New Roman" w:hAnsi="Times New Roman"/>
          <w:sz w:val="28"/>
          <w:szCs w:val="28"/>
          <w:lang w:val="en-US"/>
        </w:rPr>
        <w:t>http</w:t>
      </w:r>
      <w:r w:rsidRPr="003218C0">
        <w:rPr>
          <w:rFonts w:ascii="Times New Roman" w:hAnsi="Times New Roman"/>
          <w:sz w:val="28"/>
          <w:szCs w:val="28"/>
        </w:rPr>
        <w:t>://ссту.рф).</w:t>
      </w:r>
    </w:p>
    <w:p w:rsidR="003218C0" w:rsidRPr="003218C0" w:rsidRDefault="003218C0" w:rsidP="003218C0">
      <w:pPr>
        <w:pStyle w:val="12"/>
        <w:spacing w:line="360" w:lineRule="exact"/>
        <w:ind w:firstLine="709"/>
        <w:rPr>
          <w:rFonts w:ascii="Times New Roman" w:hAnsi="Times New Roman" w:cs="Times New Roman"/>
          <w:sz w:val="28"/>
          <w:szCs w:val="28"/>
        </w:rPr>
      </w:pPr>
      <w:r w:rsidRPr="003218C0">
        <w:rPr>
          <w:rFonts w:ascii="Times New Roman" w:hAnsi="Times New Roman" w:cs="Times New Roman"/>
          <w:sz w:val="28"/>
          <w:szCs w:val="28"/>
        </w:rPr>
        <w:t xml:space="preserve">Администрация района и поселения района продолжают оказывать государственные (переданные полномочия) и муниципальные услуги. Общее </w:t>
      </w:r>
      <w:r w:rsidRPr="003218C0">
        <w:rPr>
          <w:rFonts w:ascii="Times New Roman" w:hAnsi="Times New Roman" w:cs="Times New Roman"/>
          <w:sz w:val="28"/>
          <w:szCs w:val="28"/>
        </w:rPr>
        <w:lastRenderedPageBreak/>
        <w:t>количество заявлений о предоставлении государственных и муниципальных услуг составило 752. В том числе в электронном виде предоставлены 452 услуги, 60,73% от общего числа.</w:t>
      </w:r>
    </w:p>
    <w:p w:rsidR="003218C0" w:rsidRPr="003218C0" w:rsidRDefault="003218C0" w:rsidP="003218C0">
      <w:pPr>
        <w:pStyle w:val="12"/>
        <w:spacing w:line="360" w:lineRule="exact"/>
        <w:ind w:firstLine="709"/>
        <w:rPr>
          <w:rFonts w:ascii="Times New Roman" w:hAnsi="Times New Roman" w:cs="Times New Roman"/>
          <w:sz w:val="28"/>
          <w:szCs w:val="28"/>
        </w:rPr>
      </w:pPr>
      <w:r w:rsidRPr="003218C0">
        <w:rPr>
          <w:rFonts w:ascii="Times New Roman" w:hAnsi="Times New Roman" w:cs="Times New Roman"/>
          <w:sz w:val="28"/>
          <w:szCs w:val="28"/>
        </w:rPr>
        <w:t>Предоставление услуг в электронном виде существенно повышает их доступность, снижает коррупционные риски, сокращает временные и финансовые затраты государства и граждан.</w:t>
      </w:r>
    </w:p>
    <w:p w:rsidR="003218C0" w:rsidRPr="003218C0" w:rsidRDefault="003218C0" w:rsidP="003218C0">
      <w:pPr>
        <w:pStyle w:val="12"/>
        <w:spacing w:line="360" w:lineRule="exact"/>
        <w:ind w:firstLine="709"/>
        <w:rPr>
          <w:rFonts w:ascii="Times New Roman" w:hAnsi="Times New Roman" w:cs="Times New Roman"/>
          <w:sz w:val="28"/>
          <w:szCs w:val="28"/>
        </w:rPr>
      </w:pPr>
    </w:p>
    <w:p w:rsidR="003218C0" w:rsidRPr="009B3C65" w:rsidRDefault="003218C0" w:rsidP="003218C0">
      <w:pPr>
        <w:pStyle w:val="12"/>
        <w:spacing w:line="360" w:lineRule="exact"/>
        <w:ind w:firstLine="709"/>
        <w:rPr>
          <w:rFonts w:ascii="Times New Roman" w:hAnsi="Times New Roman" w:cs="Times New Roman"/>
          <w:b/>
          <w:sz w:val="28"/>
          <w:szCs w:val="28"/>
        </w:rPr>
      </w:pPr>
      <w:r w:rsidRPr="009B3C65">
        <w:rPr>
          <w:rFonts w:ascii="Times New Roman" w:hAnsi="Times New Roman" w:cs="Times New Roman"/>
          <w:b/>
          <w:sz w:val="28"/>
          <w:szCs w:val="28"/>
        </w:rPr>
        <w:t>СОЦИАЛЬНО-ЭКОНОМИЧЕСКОЕ РАЗВИТИЕ</w:t>
      </w:r>
    </w:p>
    <w:p w:rsidR="003218C0" w:rsidRPr="009B3C65" w:rsidRDefault="003218C0" w:rsidP="003218C0">
      <w:pPr>
        <w:pStyle w:val="af4"/>
        <w:spacing w:line="360" w:lineRule="exact"/>
        <w:ind w:firstLine="709"/>
        <w:jc w:val="both"/>
        <w:rPr>
          <w:rFonts w:ascii="Times New Roman" w:hAnsi="Times New Roman"/>
          <w:b/>
          <w:sz w:val="28"/>
          <w:szCs w:val="28"/>
        </w:rPr>
      </w:pP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Рынок труда</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По оценочным данным численность занятых в экономике составляет 7 731 человек. Численность безработных по данным на начало 2025 года — 22 человека. Вакантных должностей от работодателей в центре занятости насчитывается 203. Уровень регистрируемой безработицы составляет 0,25% от численности экономического активного населения. </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Доходы бюджета</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Всего доходов в районный бюджет за год поступило на сумму 640 562,5 тыс. руб. В том числе собственных доходов бюджета — 182 823,5 тыс. руб. Доля собственных доходов к общему объему поступлений за 2024 год составила 28,5%.</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Привлечено средств из федерального и регионального бюджетов — 446 480,4 тыс. руб.; в том числе на реализацию национальных (региональных) проектов – 19 087,3 тыс. руб.</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С целью обеспечения поступлений налоговых и неналоговых доходов, а также сокращению недоимки бюджетов, работает межведомственная комиссия. На её заседания приглашаются руководители организаций, индивидуальные предприниматели и физические лица, допустившие задолженность по налоговым и неналоговым платежам. Благодаря работе этой комиссии в бюджет поступило налоговых и неналоговых доходов в размере 6 608,5 тыс. рублей.</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 администрации создана рабочая группа межведомственной комиссии по противодействию нелегальной занятости и противодействию формированию просроченной задолженности по заработной плате, на которой ежемесячно заслушиваются работодатели, выплачивающие заработную плату ниже минимального размера оплаты труда или ниже средней заработной платы по соответствующему виду экономической деятельности в Кировской области, по итогам квартала. В 2024 году 32 работодателя заслушаны на заседаниях рабочей группы по вопросам заработной платы. Итогом стало поступление налога на доходы физлиц в размере 149,4 тыс. руб., и страховые взносы – 224,6 тыс. руб.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Администрацией района совместно с представителями налогового органа и полиции, проводятся межведомственные информационные визиты в целях информирования граждан и работодателей о рисках сокрытия </w:t>
      </w:r>
      <w:r w:rsidRPr="003218C0">
        <w:rPr>
          <w:rFonts w:ascii="Times New Roman" w:hAnsi="Times New Roman"/>
          <w:sz w:val="28"/>
          <w:szCs w:val="28"/>
        </w:rPr>
        <w:lastRenderedPageBreak/>
        <w:t>заработной платы, выявления фактов использования работодателями наемного труда работников без оформления с ними трудового договора, выполнения работ за вознаграждение физическими лицами, не имеющими статус самозанятого гражданина или индивидуального предпринимателя. В 2024 году проведено 23 визита, осмотрены 23 хозяйствующих субъекта, выявлено 11 нарушений, когда сотрудники работали без трудового договора.</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Промышленность</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Объем отгруженных товаров собственного производства, выполненных работ и услуг собственными силами в муниципальном образовании без субъектов малого предпринимательства за 2024 год составил 1 млрд. 551,3 млн. рублей, или 83,3% к 2023 году. Уменьшение произошло по разделу «Транспортировка и хранение» — 212,7 млн. рублей (НПС «Прудки» и АО «Вятавтодор»); а также по результатам деятельности в области здравоохранения («Яранская ЦРБ») и социальных услуг — 218,8 млн. руб.</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 структуре промышленности района основную долю занимает обрабатывающее производство – 56% (561,5 млн. руб.). Оно представлено предприятиями пищевой промышленности, деревообрабатывающими предприятиями. Текстильным производством занимается одно предприятие – АО «Яранская швейная фабрика». Работает производство Яранского ликероводочного завода. Оборот организаций (без субъектов малого предпринимательства) за 2024 год составил 5 млрд. 464,0 млн. рублей.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Количество субъектов малого и среднего предпринимательства – 563 единиц.</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Сельское хозяйство</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Деятельность осуществляют 4 сельскохозяйственных организаций (в их числе одно птицеводческое предприятие), 19 крестьянских (фермерских) хозяйств, 4 сельскохозяйственных потребительских кооператива, около 4 тысяч личных подсобных хозяйств граждан.</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Реализуется проект «Производство муки ржаной, пшеничной, овсяной» индивидуальных предпринимателей Ю.П. Талалаева Ю.П. и А.Ю. Талалаева, в рамках полученного ими гранта «Агростартап», который рассчитан на 5 лет и в результате его реализации объем производства должен достичь к 2025 году показателя 23 940 центнера муки. В 2024 году предпринимателями осуществлен запуск мельницы и котельной в здании бывшего комбината молочных продуктов.</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2024 году крестьянское (фермерское) хозяйство С.С. Комлева получило грант на развитие семейных ферм в размере 9 900,00 тыс. руб. на реализацию проекта «Развитие отрасли растениеводства». Реализация проекта начнётся в 2025 году. (Общая сумма проекта равна 16 млн. 500 тыс. руб., из которых 60% возмещается государством в виде гранта)</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lastRenderedPageBreak/>
        <w:t>Государственной поддержки в виде субсидий и грантов в 2024 году сельскохозяйственные производители района получили в сумме 18 954,5 тыс. рублей, немного меньше чем в предыдущем (22768,6 тыс. руб.)</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Уменьшение произошло в связи с изменениями условий субсидирования на погектарную субсидию и на реализованное зерно.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 реестр получателей субсидий на начало этого года входят пять сельхоз-организаций и десять К(Ф)Х.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Общая площадь земель в районе составляет 243,1 тыс. га. В том числе — 24,3 тыс. га посевных площадей, из 109,7 тыс. га земель сельскохозяйственного назначения.</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Используется земель с/х назначения 26,470 тыс. га под пашню и пары. Рост их к прошлому году составляет 101,6 %.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Введено 400 га в оборот земель сельхозназначения в 2024 году (КФХ С.С. Комлев в Салобелякском сельском поселении).</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Планируется ввести в 2025 году в оборот 1150 га земель в хозяйстве КФХ А.Л. Махов в Опытнопольском сельском поселении.</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Также будет продолжена работа по подготовке проектов межевания земельных участков, выделяемых в счет невостребованных земельных долей, находящихся в собственности муниципального образования и проведения кадастровых работ.</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качестве инвестиции 360 млн. руб. за счет собственных средств за год вложены в приобретение техники (130 млн), сооружение складов и асфальтирование территории в ООО «Возрождение». Сельхозорганизации вложили 245 млн. рублей собственных средств, крестьянско-фермерские хозяйства – 115 млн. руб.</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ЖИЛИЩНО-КОММУНАЛЬНОЕ ХОЗЯЙСТВО. ТРАНСПОРТ И ТРАНСПОРТНОЕ ОБСЛУЖИВАНИЕ. ГАЗОСНАБЖЕНИЕ</w:t>
      </w:r>
    </w:p>
    <w:p w:rsidR="003218C0" w:rsidRPr="003218C0" w:rsidRDefault="003218C0" w:rsidP="003218C0">
      <w:pPr>
        <w:pStyle w:val="af4"/>
        <w:spacing w:line="360" w:lineRule="exact"/>
        <w:ind w:firstLine="709"/>
        <w:jc w:val="both"/>
        <w:rPr>
          <w:rFonts w:ascii="Times New Roman" w:hAnsi="Times New Roman"/>
          <w:sz w:val="28"/>
          <w:szCs w:val="28"/>
          <w:highlight w:val="green"/>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Водопровод</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рамках исполнения госпрограммы Кировской области «Развитие жилищно-коммунального комплекса и повышения энергетической эффективности», в 2024 году администрацией района совместно с администрацией городского поселения и Правительством Кировской области проведены мероприятия по модернизации водопроводной сети г. Яранска с бурением скважины (в районе березовой рощи) на общую сумму 4 299 884,40 рублей. Выполнен ремонт системы водоснабжения в м. Знаменка (совхозная часть) на общую сумму 4 010 805,60 рублей. Работы завершены. Приобретена и установлена модульная котельная 2,4 МВт на ул. Южной г. Яранска — 16 000 000,00 рублей. На данный момент производится сдача объекта в эксплуатацию. Приобретены водогрейные котлы КВр-0,6 в котельную № 2, на ул. Южной; в котельную № 11 на ул. Карла Маркса 42б; водогрейного котла КВр-0,4, в котельную № 4 на ул. Садовая 1б — на сумму 2 680 000,00 рублей. Поставка произведена.</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lastRenderedPageBreak/>
        <w:t xml:space="preserve">В рамках регионального проекта Кировской области «Создание условий для бесперебойного предоставления бытовых и коммунальных услуг на территории Кировской области» на территории м. Знаменка (колхозная часть) проводится модернизация водопроводной сети с бурением скважины и установкой водонапорной башни. На данный момент подрядчиками ООО «Бурводстрой» (г. Йошкар-Ола) проводится комплекс работ по бурению скважины. Стоимость контракта по модернизации водопроводной сети м. Знаменка с бурением скважины — 3 771 949,20 рублей; модернизация водопроводной сети м. Знаменка с установкой водонапорной башни — 1 728 050,40 рублей. </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Газ</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С 2024 года ООО «ГеоСтройПроект» разрабатывается проект газоснабжения г. Яранска. Указом Губернатора № 77 от 04.06.2024 года утверждены изменения в «Программе газификации жилищно-коммунального хозяйства, промышленных и иных организаций Кировской области на 2022-2031 годы». Согласно данной программе, в период с 2024 по 2028 годы планируется в первую очередь построить газопровод распределительный в г. Яранске.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На данный момент на территории города ООО «ГеоСтройПроект» проводит инженерно-геологические изыскания (бурение скважин с отбором образцов грунта) по объекту «Газопровод распределительный в г. Яранск Яранского муниципального района Кировской области» в рамках исполнения программы по газификации Кировской области. Во избежание повреждения существующих подземных сетей при проведении бурения грунта работа проводится совместно со специалистами эксплуатирующих организаций (водопровод, канализация, теплотрасса, связь, электроэнергетика, существующая линия газоснабжения домов).</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Также 28 января был осуществлен совместный выезд на новое место расположения проектируемого газорегуляторного блочного пункта для его согласования всеми сторонами в рамках реализации «Программы развития газоснабжения и газификации субъектов РФ при проведении изыскательских работ по объекту «Газопровод межпоселковый к г. Яранск Яранского муниципального района Кировской области».</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целях газификации Кировской области по территории района идет проектирование межпоселкового газопровода к поселкам Тужа и Кикнур.</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Ликвидация свалок</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2024 году проведены работы по ликвидации свалок бытовых (коммунальных) отходов, не отвечающих требованиям природоохранного законодательства.</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Ликвидация свалки в д. Верхоуслино (с привлечением средств областного бюджета) проведена в соответствии с государственной программой Кировской области «Охрана окружающей среды, </w:t>
      </w:r>
      <w:r w:rsidRPr="003218C0">
        <w:rPr>
          <w:rFonts w:ascii="Times New Roman" w:hAnsi="Times New Roman"/>
          <w:sz w:val="28"/>
          <w:szCs w:val="28"/>
        </w:rPr>
        <w:lastRenderedPageBreak/>
        <w:t>воспроизводство и использование природных ресурсов» стоимостью 2 202 955,61 руб. (110 147,79 руб. - средства районного бюджета, 2 092 807, 82 руб. - средства областного бюджета), объем вывезенного мусора 876,4 тонны.</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И две свалки за счет средств районного бюджета: платежи при пользовании природными ресурсами, платежи по искам о возмещении вреда, причиненного окружающей среде и административные штрафы за правонарушения в области охраны окружающей среды): на ул. Транспортной г. Яранска — на сумму 549 981 руб, объем вывезенного мусора 250 тонн; в с. Энгенер на сумму 3 452 701,78 рублей, объем вывезенного мусора 1399 тонн.</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Весь вывезенный мусор размещен на полигоне в пгт. Пижанка. </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Дороги</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Протяженность автомобильных дорог общего пользования местного значения вне границ населенных пунктов всего – 340,550 км, протяжённость дорожно-уличной сети поселений района 228, 89 км.</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2024 году в рамках «Дорожного миллиарда» выполнены работы по ремонту автомобильной дороги Юхтунур-Верхоуслино-Салобеляк-Гулинские протяженностью 1,734 км. Стоимость работ составила 31 968 027 рублей 50 коп.</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Проведен ремонт в щебеночном исполнении участка автодороги Салобеляк -Энгенер протяженностью – 412 метров на сумму 1 503 348 рублей. (местный бюджет). Также за счет средств местного бюджета отремонтированы участки автомобильных дорог общего пользования местного значения вне границ населенных пунктов в щебеночном исполнении Каракша-Большая Каракша-Митрофаново (стоимостью 594 004 рубля) и Знаменка-Большие Шувары (стоимостью 598 493рубля).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На ремонт дорожно-уличной сети поселениям из районного бюджета в 2024 году выделены средства в размере 3 675,4 тыс. рублей.</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2024 году в рамках реализации мероприятий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приобретено два автобуса марки «Газель» общей стоимостью 9 300 тыс. руб. для МБУ «СОТ» (муниципальный контракт заключен в 2023 году) на маршруты Энгенер-Верхоуслино, Пушкино, Кугушерга, Лом-Рыжаково.</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ФИЗИЧЕСКАЯ КУЛЬТУРА И СПОРТ</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Приоритетной задачей в сфере физической культуры и спорта является массовое привлечение населения к регулярным занятиям физической культурой и спортом.</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 2024 г. на финансовую поддержку детско-юношеского и массового спорта было выделено 750 000 рублей (из них 550 000 руб. на инвентарь и 200 000 руб. на поездки на мероприятия, включенные в календарный план </w:t>
      </w:r>
      <w:r w:rsidRPr="003218C0">
        <w:rPr>
          <w:rFonts w:ascii="Times New Roman" w:hAnsi="Times New Roman"/>
          <w:sz w:val="28"/>
          <w:szCs w:val="28"/>
        </w:rPr>
        <w:lastRenderedPageBreak/>
        <w:t>официальных физкультурных мероприятий и спортивных мероприятий в Кировской области).</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На базе спортивной школы, работают восемь отделений (легкая атлетика, лыжные гонки, баскетбол, всестилевое карате, футбол, настольный теннис, гиревой спорт, хоккей с шайбой) количество спортсменов, занимающихся в спортивной школе, на сегодняшний день составляет 432 человека.</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Для работы крытого ледового катка в 2024 году было установлено табло, приобретен хоккейный инвентарь, оборудование и фронтальный погрузчик для трактора на сумму 547 200 рублей.</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Каток активно используется отделением хоккея с шайбой МБУ ДО «Спортивная школа Яранского района», куда входят две группы хоккеистов (взрослая команда — 16 человек и детская — 20 человек), проводятся регулярные товарищеские встречи и совместные тренировки с командами из Пижанского, Арбажского, Советского районов, городов Шахунья и Йошкар-Ола.</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течение летнего сезона на спортивном объекте были организованы тренировки футбольных команд, посещение и игры для детских любительских команд. В каждой школе, с целью развития физической культуры и спорта, создан свой спортивный клуб, назначен руководитель.</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Школы района участвуют в проекте Российского футбольного союза «Футбол в школу», учителя физкультуры проходят курсы повышения квалификации проводят уроки по футболу, а учащиеся также занимаются футболом во внеурочное время. Школам участникам программы выделяется спортивный футбольный инвентарь. </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КУЛЬТУРА</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 сфере культуры на территории района осуществляют деятельность шесть учреждений: МБУК «Районный Дом народного творчества» (в состав которого входят 9 сельских Домов культуры), МБУК «Центр досуга молодежи «Ярград», МБУК «Яранская центральная районная библиотека им. Г.Ф. Боровикова» (9 сельских библиотек), МБУК «Яранский краеведческий музей», МБУ ДО «Детская школа искусств», МБУ «Яранский районный архив».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Из резервного фонда правительства РФ на поддержку отрасли культуры, в целях реализации мероприятий по модернизации библиотек в части комплектования книжных фондов библиотек муниципальных образований субъектов РФ, государственной программы Кировской области «Развитие культуры» Яранской центральной районной библиотеке им. Г.Ф. Боровикова была предоставлена субсидия на приобретение новых книг в 2024 году – 117,1 тыс. руб.</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 рамках федерального проекта «Творческие люди» Кугушергский СДК стал победителем конкурсного отбора на оказание государственной поддержки лучшим муниципальным учреждениям культуры, находящимся на </w:t>
      </w:r>
      <w:r w:rsidRPr="003218C0">
        <w:rPr>
          <w:rFonts w:ascii="Times New Roman" w:hAnsi="Times New Roman"/>
          <w:sz w:val="28"/>
          <w:szCs w:val="28"/>
        </w:rPr>
        <w:lastRenderedPageBreak/>
        <w:t>территориях сельских поселений Кировской области, в 2024 году. Учреждению была выделена субсидия в размере более ста тысяч рублей (106 390,0 руб.), на которую были приобретены: ткань для костюмов, для замены одежды сцены (кулисы) и туфли.</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Яранская центральная районная библиотека стала победителем с проектом «ЧУДО: Читаем. Удивляемся. Делаем. Открываем». Библиотека получила грант Президентского фонда в размере 498 000 рублей на приобретение книг современных авторов для подростков, оборудования для создания видеороликов «Молодежь читает и советует». Созданный контент можно использовать на уроках литературы, классных часах.</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Одно из приоритетных направлений – развитие внутреннего туризма. На данное время разработано 19 туристических маршрутов. За год в качестве туристов зарегистрировано 1085 человек, доход составил 271 200 руб.</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Доходы по внебюджетным средствам составил за год 6 966 052,68 руб. За счёт данных денежных средств обновляется материально-техническая база учреждений, проводятся ремонтные работы.</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ОБРАЗОВАНИЕ</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систему образования района входят 15 муниципальных образовательных учреждений: 7 общеобразовательных школ, 6 детских садов и 1 учреждение дополнительного образования «Дом детского творчества»; 1 государственная школа.</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школах обучается 1980 человек, детские сады посещают 516 воспитанников, занятия по дополнительному образованию получают 1450 школьников.</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 рамках национального проекта «Образование» в Яранском районе реализуются следующие федеральные проекты: «Современная школа», «Успех каждого ребёнка», «Учитель будущего», «Социальная активность», «Патриотическое воспитание». Федеральный проект «Современная школа» направлен на повышение уровня образования, обновление материально-технической базы, образовательных программ, внедрение новых методов обучения и воспитания. Одним из приоритетных направлений проекта «Современная школа» является укрепление материально –технической базы образовательных организаций, приведение существующих зданий в соответствие с современными требованиями, создание условий, обеспечивающих сохранение здоровья и безопасности детей.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На ремонт учебных заведений и выполнение предписаний надзорных органов из местного бюджета в 2024 году было потрачено 4 609 045 рублей. В рамках областной субсидии и софинансирования из местного бюджета были выделены средства на капитальный ремонт спортивного зала средней школы №3 в размере 9 015 100 рублей. Проведены мероприятия по благоустройству пешеходных переходов вблизи школ города, установлены ростовые фигуры. Из местного бюджета на проведение работ было выделено 93 500 рублей.</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lastRenderedPageBreak/>
        <w:t>По поручению губернатора начались работы по техническому обследованию учреждений образования. В нашем районе такие обследование проведены в трех образовательных учреждениях, из областного и местного бюджетов выделено 361 800 рублей.</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 муниципальных школах в центрах «Точка роста» по направлениям естественнонаучного цикла (физика, химия, биология) обучаются 556 детей. В государственной школе по направлениям «Информатика и программирование», «Конструирование и моделирование», «Математика и математические дисциплины», «Физика и естественнонаучные дисциплины» – 178 учащихся.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2024 году в школы Яранского района пришло шесть молодых педагогов, из них четверо получили единовременную социальную выплату в размере150 000 рублей (выплата является региональной).</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Три школы и Дом детского творчества участвовали в конкурсе первичных отделений Движения Первых и стали победителями. Школы получили денежные призы в размере 200 000 рублей (каждая), которые будут потрачены на развитие Движения.</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Дом детского творчества победил в конкурсном отборе на предоставление субсидий из областного бюджета на развитие брендирования «ДОБРО-центра». Сумма субсидии составила 752 900 рублей.</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2024 году два педагога Яранского района стали победителями регионального этапа конкурса профессионального мастерства «Учитель года» и приняли участие в финале во Всероссийском этапе.</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районе разработан план проведения профессиональной ориентации обучающихся образовательных организаций на 2024-2025 год. Каждый месяц школьники посещают предприятия района с экскурсиями.</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 2024 году Яранской районной Думой утверждено Положение о создании благоприятных условий в целях привлечения молодых педагогических кадров для работы в образовательных организациях Яранского муниципального района. В соответствии с данным положением утверждена муниципальная программа «Развитие кадровых ресурсов муниципальной системы образования Яранского района, которой предусмотрена единовременная выплата двум молодым специалистам (тренер, педагог) при трудоустройстве в образовательные организации по 500,0 тыс. рублей, а также меры социальной поддержки 2 студентам в виде ежемесячной доплаты к стипендии в размере 2,0 тыс. рублей. </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ЗДРАВООХРАНЕНИЕ</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На территории района функционирует одно учреждение здравоохранения, 25 фельдшерско-акушерских пунктов (ФАП), три амбулатории, в том числе одна городская.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 рамках реализация мероприятий государственной программы Кировской области «Модернизация первичного звена здравоохранения Кировской области на 2021-2025 годы» в 2024 году построены три ФАПа (в </w:t>
      </w:r>
      <w:r w:rsidRPr="003218C0">
        <w:rPr>
          <w:rFonts w:ascii="Times New Roman" w:hAnsi="Times New Roman"/>
          <w:sz w:val="28"/>
          <w:szCs w:val="28"/>
        </w:rPr>
        <w:lastRenderedPageBreak/>
        <w:t>селах Рождественское, Первомайское, Энгенер). В 2025 году планируется открыть ещё три ФАПа в деревне Савичи, селах Каракша и. Салобеляк.</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С января 2023 года в районе реализуется муниципальная программа «Развитие кадровых ресурсов в здравоохранении Яранского района». Цель её – привлечение медицинских работников на работу в КОГБУЗ «Яранская ЦРБ». В рамках данной программы в 2024 году принят на работу фельдшер в ФАП местечка Опытное Поле.</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Кроме финансовой поддержки молодым специалистам предусмотрены: пользование муниципальным жильем на период действия трудового договора с КОГБУЗ «Яранская ЦРБ»; предоставление внеочередных мест в детские дошкольные учреждения района; бесплатное посещение киносеансов, развлекательных мероприятий, проводимых в учреждениях культуры, — в течение первого года трудовой деятельности в КОГБУЗ «Яранская ЦРБ».</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Данные меры поддержки предусмотрены на весь срок реализации программы —до 2027 года.</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ПРОЕКТЫ ПО ПОДДЕРЖКЕ МЕСТНЫХ ИНИЦИАТИВ</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Благодаря реализации «Проекта по поддержке местных инициатив в Кировской области» на территории Яранского района ведется целенаправленная работа по благоустройству территорий населенных пунктов и мест массового отдыха граждан, выполняется ремонт учреждений культуры, библиотек, объектов дополнительного образования детей, объектов спорта, скверов, парков, объектов дорожного сервиса в части автостанций и автовокзалов.</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2024 году в городе успешно реализован районный инициативный проект «Меняйся к лучшему, любимый Яранск! Отремонтируем «Юго-западные ворота Кировской области» вместе!» — ремонт автостанции. Общая его стоимость составила 4 692 103,86 руб. (субсидия – 2 738 670,18 руб., местный бюджет – 1 465 074,27 руб., физические лица – 284 876,24 руб., юридические лица – 203 483,17 руб.).</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Выполнены работы по облицовке фасада здания автостанции плитами из керамогранита, отремонтирован посадочный перрон, проведены работы по асфальтированию прилегающей к зданию территории.</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Также успешно реализованы Проекты в двух сельских поселениях: в Знаменском — ремонт памятника воинам-землякам (994 750 руб.) и обустройство кладбища в селе Кугалки (999 235 руб.)</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НАЦИОНАЛЬНЫЙ ПРОЕКТ «ЖИЛЬЕ И ГОРОДСКАЯ СРЕДА»</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Два муниципальных образования вовлечены в реализацию этого национального проекта. В городском поселении на средства 6 671,4 тыс. рублей проведены благоустройство дворовой территории дома по ул. Тургенева 2В; и общественных территорий — участков тротуаров по улицам Ленина, Карла Маркса, Кирова и благоустройство Парка Победы (у памятника </w:t>
      </w:r>
      <w:r w:rsidRPr="003218C0">
        <w:rPr>
          <w:rFonts w:ascii="Times New Roman" w:hAnsi="Times New Roman"/>
          <w:sz w:val="28"/>
          <w:szCs w:val="28"/>
        </w:rPr>
        <w:lastRenderedPageBreak/>
        <w:t>воинам-землякам). В Знаменском сельском поселении на сумму 193,2 тыс. рублей проведено обустройство наружного освещения пешеходных зон.</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ПОМОЩЬ УЧАСТНИКАМ СВО И ИХ СЕМЬЯМ</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В 2024 году оказана помощь в приобретении твёрдого топлива (колотые дрова) 206 члену семьи участников СВО на общую сумму 5311,513 тыс. руб.</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Активно включилось в работу помощи нашим воинам население района. Через волонтерские отряды организовано оказание помощи в бытовых вопросах членам семей участников СВО. Со всеми членами семьи участников СВО организовано круглосуточное взаимодействие в созданном Telegram-канале. Всего на территории действует 10 волонтерских отрядов.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На постоянной основе организован сбор гуманитарной помощи для участников СВО. Собрано и отправлено в зону СВО более 250 тонн продуктов питания.</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Организовано 10 мест для изготовления маскировочных сетей (изготовлено 1670 сетей) и окопных свечей (340 шт.)</w:t>
      </w:r>
    </w:p>
    <w:p w:rsidR="003218C0" w:rsidRPr="003218C0" w:rsidRDefault="003218C0" w:rsidP="003218C0">
      <w:pPr>
        <w:pStyle w:val="af4"/>
        <w:spacing w:line="360" w:lineRule="exact"/>
        <w:ind w:firstLine="709"/>
        <w:jc w:val="both"/>
        <w:rPr>
          <w:rFonts w:ascii="Times New Roman" w:hAnsi="Times New Roman"/>
          <w:sz w:val="28"/>
          <w:szCs w:val="28"/>
        </w:rPr>
      </w:pPr>
    </w:p>
    <w:p w:rsidR="003218C0" w:rsidRPr="009B3C65" w:rsidRDefault="003218C0" w:rsidP="003218C0">
      <w:pPr>
        <w:pStyle w:val="af4"/>
        <w:spacing w:line="360" w:lineRule="exact"/>
        <w:ind w:firstLine="709"/>
        <w:jc w:val="both"/>
        <w:rPr>
          <w:rFonts w:ascii="Times New Roman" w:hAnsi="Times New Roman"/>
          <w:b/>
          <w:sz w:val="28"/>
          <w:szCs w:val="28"/>
        </w:rPr>
      </w:pPr>
      <w:r w:rsidRPr="009B3C65">
        <w:rPr>
          <w:rFonts w:ascii="Times New Roman" w:hAnsi="Times New Roman"/>
          <w:b/>
          <w:sz w:val="28"/>
          <w:szCs w:val="28"/>
        </w:rPr>
        <w:t>ПЕРСПЕКТИВЫ РАЗВИТИЯ</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 качестве перспективных задач для развития района вижу: газификация города Яранска, так как большая часть предприятий сосредоточена в данном населенном пункте. Значима и работа поселений по невостребованным земельным долям. Итог данной работы – это введение земельных участков сельхозназначения в оборот.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Продолжается развитие туристического потенциала района. Результат – сохранение и популяризация исторических и культурных традиций района, рост доходов в сфере общественного питания и гостиничных услуг (брендирование территории).</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Необходимо продолжить участие в национальных, региональных проектах, грантах, конкурсах, развивать государственно-частное партнерство.</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Позади еще один год напряженной работы. Подводя итоги во всех сферах жизнедеятельности района, хочется отметить, что, к сожалению, не всё, но всё же многое нам удалось сделать в уходящем году. Достигнутые районом успехи — это результат упорного и эффективного труда руководителей предприятий и организаций, специалистов, трудовых коллективов, индивидуальных предпринимателей, депутатов всех уровней, глав сельских поселений, активных жителей.</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 xml:space="preserve">Выражаю благодарность всем, кто работал на благо района, кто своим каждодневным трудом вносил вклад в развитие территории. В условиях, когда наша страна противостоит колоссальному внешнему вызову, наш общий долг — сохранять внутреннее единство. </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t>2025 год также будет насыщен мероприятиями и проектами, которые предстоит реализовать – оснащение малыми спортивными площадками, газификация г. Яранска, ремонт поселковых дорог и межпоселковых дорог и много других задач, которые мы не обойдем стороной.</w:t>
      </w:r>
    </w:p>
    <w:p w:rsidR="003218C0" w:rsidRPr="003218C0" w:rsidRDefault="003218C0" w:rsidP="003218C0">
      <w:pPr>
        <w:pStyle w:val="af4"/>
        <w:spacing w:line="360" w:lineRule="exact"/>
        <w:ind w:firstLine="709"/>
        <w:jc w:val="both"/>
        <w:rPr>
          <w:rFonts w:ascii="Times New Roman" w:hAnsi="Times New Roman"/>
          <w:sz w:val="28"/>
          <w:szCs w:val="28"/>
        </w:rPr>
      </w:pPr>
      <w:r w:rsidRPr="003218C0">
        <w:rPr>
          <w:rFonts w:ascii="Times New Roman" w:hAnsi="Times New Roman"/>
          <w:sz w:val="28"/>
          <w:szCs w:val="28"/>
        </w:rPr>
        <w:lastRenderedPageBreak/>
        <w:t xml:space="preserve">Безусловными ориентирами в работе органов местного самоуправления Яранского района будет выполнение указов Президента Российской Федерации и задач, поставленных Губернатором Кировской области, реализация национальных и региональных проектов. </w:t>
      </w:r>
    </w:p>
    <w:p w:rsidR="003218C0" w:rsidRDefault="003218C0" w:rsidP="003218C0">
      <w:pPr>
        <w:spacing w:after="0" w:line="360" w:lineRule="exact"/>
        <w:ind w:firstLine="709"/>
        <w:jc w:val="both"/>
        <w:rPr>
          <w:rFonts w:ascii="Times New Roman" w:hAnsi="Times New Roman" w:cs="Times New Roman"/>
          <w:sz w:val="28"/>
          <w:szCs w:val="28"/>
        </w:rPr>
      </w:pPr>
    </w:p>
    <w:p w:rsidR="009B3C65" w:rsidRDefault="009B3C65" w:rsidP="003218C0">
      <w:pPr>
        <w:spacing w:after="0" w:line="360" w:lineRule="exact"/>
        <w:ind w:firstLine="709"/>
        <w:jc w:val="both"/>
        <w:rPr>
          <w:rFonts w:ascii="Times New Roman" w:hAnsi="Times New Roman" w:cs="Times New Roman"/>
          <w:sz w:val="28"/>
          <w:szCs w:val="28"/>
        </w:rPr>
      </w:pPr>
    </w:p>
    <w:p w:rsidR="009B3C65" w:rsidRPr="003218C0" w:rsidRDefault="009B3C65" w:rsidP="009B3C65">
      <w:pPr>
        <w:spacing w:after="0" w:line="360" w:lineRule="exact"/>
        <w:ind w:firstLine="709"/>
        <w:jc w:val="center"/>
        <w:rPr>
          <w:rFonts w:ascii="Times New Roman" w:hAnsi="Times New Roman" w:cs="Times New Roman"/>
          <w:sz w:val="28"/>
          <w:szCs w:val="28"/>
        </w:rPr>
      </w:pPr>
      <w:r>
        <w:rPr>
          <w:rFonts w:ascii="Times New Roman" w:hAnsi="Times New Roman" w:cs="Times New Roman"/>
          <w:sz w:val="28"/>
          <w:szCs w:val="28"/>
        </w:rPr>
        <w:t>_______________________</w:t>
      </w:r>
      <w:bookmarkStart w:id="0" w:name="_GoBack"/>
      <w:bookmarkEnd w:id="0"/>
    </w:p>
    <w:sectPr w:rsidR="009B3C65" w:rsidRPr="003218C0" w:rsidSect="00403C9C">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A3C" w:rsidRDefault="001A2A3C" w:rsidP="00640139">
      <w:pPr>
        <w:spacing w:after="0" w:line="240" w:lineRule="auto"/>
      </w:pPr>
      <w:r>
        <w:separator/>
      </w:r>
    </w:p>
  </w:endnote>
  <w:endnote w:type="continuationSeparator" w:id="0">
    <w:p w:rsidR="001A2A3C" w:rsidRDefault="001A2A3C" w:rsidP="0064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A3C" w:rsidRDefault="001A2A3C" w:rsidP="00640139">
      <w:pPr>
        <w:spacing w:after="0" w:line="240" w:lineRule="auto"/>
      </w:pPr>
      <w:r>
        <w:separator/>
      </w:r>
    </w:p>
  </w:footnote>
  <w:footnote w:type="continuationSeparator" w:id="0">
    <w:p w:rsidR="001A2A3C" w:rsidRDefault="001A2A3C" w:rsidP="00640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45F"/>
    <w:multiLevelType w:val="hybridMultilevel"/>
    <w:tmpl w:val="EAE2701C"/>
    <w:lvl w:ilvl="0" w:tplc="16D0981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4D2631"/>
    <w:multiLevelType w:val="hybridMultilevel"/>
    <w:tmpl w:val="9CC6F1A6"/>
    <w:lvl w:ilvl="0" w:tplc="5422112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1099D"/>
    <w:multiLevelType w:val="hybridMultilevel"/>
    <w:tmpl w:val="1F06B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B415BA"/>
    <w:multiLevelType w:val="hybridMultilevel"/>
    <w:tmpl w:val="67826BAE"/>
    <w:lvl w:ilvl="0" w:tplc="588A39B6">
      <w:start w:val="1"/>
      <w:numFmt w:val="bullet"/>
      <w:lvlText w:val="•"/>
      <w:lvlJc w:val="left"/>
      <w:pPr>
        <w:tabs>
          <w:tab w:val="num" w:pos="720"/>
        </w:tabs>
        <w:ind w:left="720" w:hanging="360"/>
      </w:pPr>
      <w:rPr>
        <w:rFonts w:ascii="Arial" w:hAnsi="Arial" w:hint="default"/>
      </w:rPr>
    </w:lvl>
    <w:lvl w:ilvl="1" w:tplc="6638093A" w:tentative="1">
      <w:start w:val="1"/>
      <w:numFmt w:val="bullet"/>
      <w:lvlText w:val="•"/>
      <w:lvlJc w:val="left"/>
      <w:pPr>
        <w:tabs>
          <w:tab w:val="num" w:pos="1440"/>
        </w:tabs>
        <w:ind w:left="1440" w:hanging="360"/>
      </w:pPr>
      <w:rPr>
        <w:rFonts w:ascii="Arial" w:hAnsi="Arial" w:hint="default"/>
      </w:rPr>
    </w:lvl>
    <w:lvl w:ilvl="2" w:tplc="6846B582" w:tentative="1">
      <w:start w:val="1"/>
      <w:numFmt w:val="bullet"/>
      <w:lvlText w:val="•"/>
      <w:lvlJc w:val="left"/>
      <w:pPr>
        <w:tabs>
          <w:tab w:val="num" w:pos="2160"/>
        </w:tabs>
        <w:ind w:left="2160" w:hanging="360"/>
      </w:pPr>
      <w:rPr>
        <w:rFonts w:ascii="Arial" w:hAnsi="Arial" w:hint="default"/>
      </w:rPr>
    </w:lvl>
    <w:lvl w:ilvl="3" w:tplc="E39A26F4" w:tentative="1">
      <w:start w:val="1"/>
      <w:numFmt w:val="bullet"/>
      <w:lvlText w:val="•"/>
      <w:lvlJc w:val="left"/>
      <w:pPr>
        <w:tabs>
          <w:tab w:val="num" w:pos="2880"/>
        </w:tabs>
        <w:ind w:left="2880" w:hanging="360"/>
      </w:pPr>
      <w:rPr>
        <w:rFonts w:ascii="Arial" w:hAnsi="Arial" w:hint="default"/>
      </w:rPr>
    </w:lvl>
    <w:lvl w:ilvl="4" w:tplc="EA380A4E" w:tentative="1">
      <w:start w:val="1"/>
      <w:numFmt w:val="bullet"/>
      <w:lvlText w:val="•"/>
      <w:lvlJc w:val="left"/>
      <w:pPr>
        <w:tabs>
          <w:tab w:val="num" w:pos="3600"/>
        </w:tabs>
        <w:ind w:left="3600" w:hanging="360"/>
      </w:pPr>
      <w:rPr>
        <w:rFonts w:ascii="Arial" w:hAnsi="Arial" w:hint="default"/>
      </w:rPr>
    </w:lvl>
    <w:lvl w:ilvl="5" w:tplc="C4048614" w:tentative="1">
      <w:start w:val="1"/>
      <w:numFmt w:val="bullet"/>
      <w:lvlText w:val="•"/>
      <w:lvlJc w:val="left"/>
      <w:pPr>
        <w:tabs>
          <w:tab w:val="num" w:pos="4320"/>
        </w:tabs>
        <w:ind w:left="4320" w:hanging="360"/>
      </w:pPr>
      <w:rPr>
        <w:rFonts w:ascii="Arial" w:hAnsi="Arial" w:hint="default"/>
      </w:rPr>
    </w:lvl>
    <w:lvl w:ilvl="6" w:tplc="1BDC1138" w:tentative="1">
      <w:start w:val="1"/>
      <w:numFmt w:val="bullet"/>
      <w:lvlText w:val="•"/>
      <w:lvlJc w:val="left"/>
      <w:pPr>
        <w:tabs>
          <w:tab w:val="num" w:pos="5040"/>
        </w:tabs>
        <w:ind w:left="5040" w:hanging="360"/>
      </w:pPr>
      <w:rPr>
        <w:rFonts w:ascii="Arial" w:hAnsi="Arial" w:hint="default"/>
      </w:rPr>
    </w:lvl>
    <w:lvl w:ilvl="7" w:tplc="FFEEF81C" w:tentative="1">
      <w:start w:val="1"/>
      <w:numFmt w:val="bullet"/>
      <w:lvlText w:val="•"/>
      <w:lvlJc w:val="left"/>
      <w:pPr>
        <w:tabs>
          <w:tab w:val="num" w:pos="5760"/>
        </w:tabs>
        <w:ind w:left="5760" w:hanging="360"/>
      </w:pPr>
      <w:rPr>
        <w:rFonts w:ascii="Arial" w:hAnsi="Arial" w:hint="default"/>
      </w:rPr>
    </w:lvl>
    <w:lvl w:ilvl="8" w:tplc="D06E91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B642EA"/>
    <w:multiLevelType w:val="hybridMultilevel"/>
    <w:tmpl w:val="28ACD7D4"/>
    <w:lvl w:ilvl="0" w:tplc="356CBC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1B46169"/>
    <w:multiLevelType w:val="hybridMultilevel"/>
    <w:tmpl w:val="AB124AF4"/>
    <w:lvl w:ilvl="0" w:tplc="B344D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D259EA"/>
    <w:multiLevelType w:val="hybridMultilevel"/>
    <w:tmpl w:val="925C5C2A"/>
    <w:lvl w:ilvl="0" w:tplc="1DD84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D64AEE"/>
    <w:multiLevelType w:val="multilevel"/>
    <w:tmpl w:val="FFFFFFFF"/>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18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18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180"/>
      </w:pPr>
    </w:lvl>
  </w:abstractNum>
  <w:abstractNum w:abstractNumId="8" w15:restartNumberingAfterBreak="0">
    <w:nsid w:val="15D11C5E"/>
    <w:multiLevelType w:val="hybridMultilevel"/>
    <w:tmpl w:val="C8367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6E73EF"/>
    <w:multiLevelType w:val="hybridMultilevel"/>
    <w:tmpl w:val="3634F3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93B1D5E"/>
    <w:multiLevelType w:val="hybridMultilevel"/>
    <w:tmpl w:val="A43C1F0C"/>
    <w:lvl w:ilvl="0" w:tplc="4FAAC516">
      <w:start w:val="1"/>
      <w:numFmt w:val="bullet"/>
      <w:lvlText w:val="-"/>
      <w:lvlJc w:val="left"/>
      <w:pPr>
        <w:tabs>
          <w:tab w:val="num" w:pos="720"/>
        </w:tabs>
        <w:ind w:left="720" w:hanging="360"/>
      </w:pPr>
      <w:rPr>
        <w:rFonts w:ascii="Times New Roman" w:hAnsi="Times New Roman" w:hint="default"/>
      </w:rPr>
    </w:lvl>
    <w:lvl w:ilvl="1" w:tplc="9998CD9E" w:tentative="1">
      <w:start w:val="1"/>
      <w:numFmt w:val="bullet"/>
      <w:lvlText w:val="-"/>
      <w:lvlJc w:val="left"/>
      <w:pPr>
        <w:tabs>
          <w:tab w:val="num" w:pos="1440"/>
        </w:tabs>
        <w:ind w:left="1440" w:hanging="360"/>
      </w:pPr>
      <w:rPr>
        <w:rFonts w:ascii="Times New Roman" w:hAnsi="Times New Roman" w:hint="default"/>
      </w:rPr>
    </w:lvl>
    <w:lvl w:ilvl="2" w:tplc="E6166394" w:tentative="1">
      <w:start w:val="1"/>
      <w:numFmt w:val="bullet"/>
      <w:lvlText w:val="-"/>
      <w:lvlJc w:val="left"/>
      <w:pPr>
        <w:tabs>
          <w:tab w:val="num" w:pos="2160"/>
        </w:tabs>
        <w:ind w:left="2160" w:hanging="360"/>
      </w:pPr>
      <w:rPr>
        <w:rFonts w:ascii="Times New Roman" w:hAnsi="Times New Roman" w:hint="default"/>
      </w:rPr>
    </w:lvl>
    <w:lvl w:ilvl="3" w:tplc="B9520B5C" w:tentative="1">
      <w:start w:val="1"/>
      <w:numFmt w:val="bullet"/>
      <w:lvlText w:val="-"/>
      <w:lvlJc w:val="left"/>
      <w:pPr>
        <w:tabs>
          <w:tab w:val="num" w:pos="2880"/>
        </w:tabs>
        <w:ind w:left="2880" w:hanging="360"/>
      </w:pPr>
      <w:rPr>
        <w:rFonts w:ascii="Times New Roman" w:hAnsi="Times New Roman" w:hint="default"/>
      </w:rPr>
    </w:lvl>
    <w:lvl w:ilvl="4" w:tplc="08D404DC" w:tentative="1">
      <w:start w:val="1"/>
      <w:numFmt w:val="bullet"/>
      <w:lvlText w:val="-"/>
      <w:lvlJc w:val="left"/>
      <w:pPr>
        <w:tabs>
          <w:tab w:val="num" w:pos="3600"/>
        </w:tabs>
        <w:ind w:left="3600" w:hanging="360"/>
      </w:pPr>
      <w:rPr>
        <w:rFonts w:ascii="Times New Roman" w:hAnsi="Times New Roman" w:hint="default"/>
      </w:rPr>
    </w:lvl>
    <w:lvl w:ilvl="5" w:tplc="DCC65B5E" w:tentative="1">
      <w:start w:val="1"/>
      <w:numFmt w:val="bullet"/>
      <w:lvlText w:val="-"/>
      <w:lvlJc w:val="left"/>
      <w:pPr>
        <w:tabs>
          <w:tab w:val="num" w:pos="4320"/>
        </w:tabs>
        <w:ind w:left="4320" w:hanging="360"/>
      </w:pPr>
      <w:rPr>
        <w:rFonts w:ascii="Times New Roman" w:hAnsi="Times New Roman" w:hint="default"/>
      </w:rPr>
    </w:lvl>
    <w:lvl w:ilvl="6" w:tplc="B732A476" w:tentative="1">
      <w:start w:val="1"/>
      <w:numFmt w:val="bullet"/>
      <w:lvlText w:val="-"/>
      <w:lvlJc w:val="left"/>
      <w:pPr>
        <w:tabs>
          <w:tab w:val="num" w:pos="5040"/>
        </w:tabs>
        <w:ind w:left="5040" w:hanging="360"/>
      </w:pPr>
      <w:rPr>
        <w:rFonts w:ascii="Times New Roman" w:hAnsi="Times New Roman" w:hint="default"/>
      </w:rPr>
    </w:lvl>
    <w:lvl w:ilvl="7" w:tplc="EB141BC8" w:tentative="1">
      <w:start w:val="1"/>
      <w:numFmt w:val="bullet"/>
      <w:lvlText w:val="-"/>
      <w:lvlJc w:val="left"/>
      <w:pPr>
        <w:tabs>
          <w:tab w:val="num" w:pos="5760"/>
        </w:tabs>
        <w:ind w:left="5760" w:hanging="360"/>
      </w:pPr>
      <w:rPr>
        <w:rFonts w:ascii="Times New Roman" w:hAnsi="Times New Roman" w:hint="default"/>
      </w:rPr>
    </w:lvl>
    <w:lvl w:ilvl="8" w:tplc="0B7E509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DA727B"/>
    <w:multiLevelType w:val="hybridMultilevel"/>
    <w:tmpl w:val="97483BAC"/>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CC7F81"/>
    <w:multiLevelType w:val="hybridMultilevel"/>
    <w:tmpl w:val="113A415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4A3B18"/>
    <w:multiLevelType w:val="hybridMultilevel"/>
    <w:tmpl w:val="A31ABADA"/>
    <w:lvl w:ilvl="0" w:tplc="311A1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917001"/>
    <w:multiLevelType w:val="multilevel"/>
    <w:tmpl w:val="423EB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F33F67"/>
    <w:multiLevelType w:val="hybridMultilevel"/>
    <w:tmpl w:val="C1182F0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A62BB0"/>
    <w:multiLevelType w:val="hybridMultilevel"/>
    <w:tmpl w:val="EA7C1CB4"/>
    <w:lvl w:ilvl="0" w:tplc="BCDCE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A75A4C"/>
    <w:multiLevelType w:val="hybridMultilevel"/>
    <w:tmpl w:val="C1182F0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AE4E7F"/>
    <w:multiLevelType w:val="hybridMultilevel"/>
    <w:tmpl w:val="9CF048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00709A"/>
    <w:multiLevelType w:val="hybridMultilevel"/>
    <w:tmpl w:val="4A922DE8"/>
    <w:lvl w:ilvl="0" w:tplc="04190011">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4D1013A5"/>
    <w:multiLevelType w:val="hybridMultilevel"/>
    <w:tmpl w:val="A81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BB0761"/>
    <w:multiLevelType w:val="hybridMultilevel"/>
    <w:tmpl w:val="788276C6"/>
    <w:lvl w:ilvl="0" w:tplc="9508DA8A">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88A656C"/>
    <w:multiLevelType w:val="hybridMultilevel"/>
    <w:tmpl w:val="36B072BA"/>
    <w:lvl w:ilvl="0" w:tplc="3196C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AB76A4A"/>
    <w:multiLevelType w:val="hybridMultilevel"/>
    <w:tmpl w:val="D2D271DA"/>
    <w:lvl w:ilvl="0" w:tplc="311A1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DE854DE"/>
    <w:multiLevelType w:val="multilevel"/>
    <w:tmpl w:val="FEEA24F8"/>
    <w:lvl w:ilvl="0">
      <w:start w:val="1"/>
      <w:numFmt w:val="decimal"/>
      <w:lvlText w:val="%1."/>
      <w:lvlJc w:val="left"/>
      <w:pPr>
        <w:ind w:left="1070" w:hanging="360"/>
      </w:pPr>
      <w:rPr>
        <w:rFonts w:hint="default"/>
        <w:u w:val="none"/>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1BB038C"/>
    <w:multiLevelType w:val="hybridMultilevel"/>
    <w:tmpl w:val="788276C6"/>
    <w:lvl w:ilvl="0" w:tplc="9508DA8A">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3BB0DC5"/>
    <w:multiLevelType w:val="hybridMultilevel"/>
    <w:tmpl w:val="014874A2"/>
    <w:lvl w:ilvl="0" w:tplc="E5847D1C">
      <w:start w:val="1"/>
      <w:numFmt w:val="bullet"/>
      <w:lvlText w:val="-"/>
      <w:lvlJc w:val="left"/>
      <w:pPr>
        <w:tabs>
          <w:tab w:val="num" w:pos="720"/>
        </w:tabs>
        <w:ind w:left="720" w:hanging="360"/>
      </w:pPr>
      <w:rPr>
        <w:rFonts w:ascii="Times New Roman" w:hAnsi="Times New Roman" w:hint="default"/>
      </w:rPr>
    </w:lvl>
    <w:lvl w:ilvl="1" w:tplc="0FF0C944" w:tentative="1">
      <w:start w:val="1"/>
      <w:numFmt w:val="bullet"/>
      <w:lvlText w:val="-"/>
      <w:lvlJc w:val="left"/>
      <w:pPr>
        <w:tabs>
          <w:tab w:val="num" w:pos="1440"/>
        </w:tabs>
        <w:ind w:left="1440" w:hanging="360"/>
      </w:pPr>
      <w:rPr>
        <w:rFonts w:ascii="Times New Roman" w:hAnsi="Times New Roman" w:hint="default"/>
      </w:rPr>
    </w:lvl>
    <w:lvl w:ilvl="2" w:tplc="F0B62AFE" w:tentative="1">
      <w:start w:val="1"/>
      <w:numFmt w:val="bullet"/>
      <w:lvlText w:val="-"/>
      <w:lvlJc w:val="left"/>
      <w:pPr>
        <w:tabs>
          <w:tab w:val="num" w:pos="2160"/>
        </w:tabs>
        <w:ind w:left="2160" w:hanging="360"/>
      </w:pPr>
      <w:rPr>
        <w:rFonts w:ascii="Times New Roman" w:hAnsi="Times New Roman" w:hint="default"/>
      </w:rPr>
    </w:lvl>
    <w:lvl w:ilvl="3" w:tplc="DEF4E4BC" w:tentative="1">
      <w:start w:val="1"/>
      <w:numFmt w:val="bullet"/>
      <w:lvlText w:val="-"/>
      <w:lvlJc w:val="left"/>
      <w:pPr>
        <w:tabs>
          <w:tab w:val="num" w:pos="2880"/>
        </w:tabs>
        <w:ind w:left="2880" w:hanging="360"/>
      </w:pPr>
      <w:rPr>
        <w:rFonts w:ascii="Times New Roman" w:hAnsi="Times New Roman" w:hint="default"/>
      </w:rPr>
    </w:lvl>
    <w:lvl w:ilvl="4" w:tplc="912E31F4" w:tentative="1">
      <w:start w:val="1"/>
      <w:numFmt w:val="bullet"/>
      <w:lvlText w:val="-"/>
      <w:lvlJc w:val="left"/>
      <w:pPr>
        <w:tabs>
          <w:tab w:val="num" w:pos="3600"/>
        </w:tabs>
        <w:ind w:left="3600" w:hanging="360"/>
      </w:pPr>
      <w:rPr>
        <w:rFonts w:ascii="Times New Roman" w:hAnsi="Times New Roman" w:hint="default"/>
      </w:rPr>
    </w:lvl>
    <w:lvl w:ilvl="5" w:tplc="C65C420C" w:tentative="1">
      <w:start w:val="1"/>
      <w:numFmt w:val="bullet"/>
      <w:lvlText w:val="-"/>
      <w:lvlJc w:val="left"/>
      <w:pPr>
        <w:tabs>
          <w:tab w:val="num" w:pos="4320"/>
        </w:tabs>
        <w:ind w:left="4320" w:hanging="360"/>
      </w:pPr>
      <w:rPr>
        <w:rFonts w:ascii="Times New Roman" w:hAnsi="Times New Roman" w:hint="default"/>
      </w:rPr>
    </w:lvl>
    <w:lvl w:ilvl="6" w:tplc="2B780B28" w:tentative="1">
      <w:start w:val="1"/>
      <w:numFmt w:val="bullet"/>
      <w:lvlText w:val="-"/>
      <w:lvlJc w:val="left"/>
      <w:pPr>
        <w:tabs>
          <w:tab w:val="num" w:pos="5040"/>
        </w:tabs>
        <w:ind w:left="5040" w:hanging="360"/>
      </w:pPr>
      <w:rPr>
        <w:rFonts w:ascii="Times New Roman" w:hAnsi="Times New Roman" w:hint="default"/>
      </w:rPr>
    </w:lvl>
    <w:lvl w:ilvl="7" w:tplc="4F2A7724" w:tentative="1">
      <w:start w:val="1"/>
      <w:numFmt w:val="bullet"/>
      <w:lvlText w:val="-"/>
      <w:lvlJc w:val="left"/>
      <w:pPr>
        <w:tabs>
          <w:tab w:val="num" w:pos="5760"/>
        </w:tabs>
        <w:ind w:left="5760" w:hanging="360"/>
      </w:pPr>
      <w:rPr>
        <w:rFonts w:ascii="Times New Roman" w:hAnsi="Times New Roman" w:hint="default"/>
      </w:rPr>
    </w:lvl>
    <w:lvl w:ilvl="8" w:tplc="15B4008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91E3B5A"/>
    <w:multiLevelType w:val="hybridMultilevel"/>
    <w:tmpl w:val="737A86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69769A"/>
    <w:multiLevelType w:val="hybridMultilevel"/>
    <w:tmpl w:val="485A3088"/>
    <w:lvl w:ilvl="0" w:tplc="5DB20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A8D343A"/>
    <w:multiLevelType w:val="hybridMultilevel"/>
    <w:tmpl w:val="5664D292"/>
    <w:lvl w:ilvl="0" w:tplc="A6F478B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F82FF3"/>
    <w:multiLevelType w:val="hybridMultilevel"/>
    <w:tmpl w:val="E7E6E81A"/>
    <w:lvl w:ilvl="0" w:tplc="AFDC3DA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DFE4C34"/>
    <w:multiLevelType w:val="hybridMultilevel"/>
    <w:tmpl w:val="A710B2EE"/>
    <w:lvl w:ilvl="0" w:tplc="79F4FDD6">
      <w:start w:val="1"/>
      <w:numFmt w:val="decimal"/>
      <w:lvlText w:val="%1."/>
      <w:lvlJc w:val="left"/>
      <w:pPr>
        <w:ind w:left="360" w:hanging="360"/>
      </w:pPr>
      <w:rPr>
        <w:rFonts w:eastAsiaTheme="minorHAnsi"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E816919"/>
    <w:multiLevelType w:val="hybridMultilevel"/>
    <w:tmpl w:val="7DACA53C"/>
    <w:lvl w:ilvl="0" w:tplc="2FB45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8"/>
  </w:num>
  <w:num w:numId="3">
    <w:abstractNumId w:val="2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13"/>
  </w:num>
  <w:num w:numId="8">
    <w:abstractNumId w:val="23"/>
  </w:num>
  <w:num w:numId="9">
    <w:abstractNumId w:val="20"/>
  </w:num>
  <w:num w:numId="10">
    <w:abstractNumId w:val="5"/>
  </w:num>
  <w:num w:numId="11">
    <w:abstractNumId w:val="27"/>
  </w:num>
  <w:num w:numId="12">
    <w:abstractNumId w:val="21"/>
  </w:num>
  <w:num w:numId="13">
    <w:abstractNumId w:val="9"/>
  </w:num>
  <w:num w:numId="14">
    <w:abstractNumId w:val="15"/>
  </w:num>
  <w:num w:numId="15">
    <w:abstractNumId w:val="30"/>
  </w:num>
  <w:num w:numId="16">
    <w:abstractNumId w:val="8"/>
  </w:num>
  <w:num w:numId="17">
    <w:abstractNumId w:val="0"/>
  </w:num>
  <w:num w:numId="18">
    <w:abstractNumId w:val="25"/>
  </w:num>
  <w:num w:numId="19">
    <w:abstractNumId w:val="12"/>
  </w:num>
  <w:num w:numId="20">
    <w:abstractNumId w:val="32"/>
  </w:num>
  <w:num w:numId="21">
    <w:abstractNumId w:val="24"/>
  </w:num>
  <w:num w:numId="22">
    <w:abstractNumId w:val="2"/>
  </w:num>
  <w:num w:numId="23">
    <w:abstractNumId w:val="16"/>
  </w:num>
  <w:num w:numId="24">
    <w:abstractNumId w:val="31"/>
  </w:num>
  <w:num w:numId="25">
    <w:abstractNumId w:val="4"/>
  </w:num>
  <w:num w:numId="26">
    <w:abstractNumId w:val="22"/>
  </w:num>
  <w:num w:numId="27">
    <w:abstractNumId w:val="26"/>
  </w:num>
  <w:num w:numId="28">
    <w:abstractNumId w:val="3"/>
  </w:num>
  <w:num w:numId="29">
    <w:abstractNumId w:val="10"/>
  </w:num>
  <w:num w:numId="30">
    <w:abstractNumId w:val="11"/>
  </w:num>
  <w:num w:numId="31">
    <w:abstractNumId w:val="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B9"/>
    <w:rsid w:val="0000771C"/>
    <w:rsid w:val="00022FB0"/>
    <w:rsid w:val="000354CD"/>
    <w:rsid w:val="00040C54"/>
    <w:rsid w:val="000472D1"/>
    <w:rsid w:val="00051D52"/>
    <w:rsid w:val="00052B6A"/>
    <w:rsid w:val="00057847"/>
    <w:rsid w:val="00057D1D"/>
    <w:rsid w:val="000648B5"/>
    <w:rsid w:val="000730C3"/>
    <w:rsid w:val="00075178"/>
    <w:rsid w:val="00095788"/>
    <w:rsid w:val="000B3766"/>
    <w:rsid w:val="000B75D6"/>
    <w:rsid w:val="000C05D9"/>
    <w:rsid w:val="000C0C92"/>
    <w:rsid w:val="000C7F2C"/>
    <w:rsid w:val="000D0222"/>
    <w:rsid w:val="000D2594"/>
    <w:rsid w:val="000D4C96"/>
    <w:rsid w:val="000E40D4"/>
    <w:rsid w:val="000E557A"/>
    <w:rsid w:val="000F0059"/>
    <w:rsid w:val="00100F92"/>
    <w:rsid w:val="0010391B"/>
    <w:rsid w:val="0011707A"/>
    <w:rsid w:val="00123029"/>
    <w:rsid w:val="00124DF3"/>
    <w:rsid w:val="0013006B"/>
    <w:rsid w:val="00134CE7"/>
    <w:rsid w:val="00140E18"/>
    <w:rsid w:val="0014146E"/>
    <w:rsid w:val="00142098"/>
    <w:rsid w:val="00146666"/>
    <w:rsid w:val="00154718"/>
    <w:rsid w:val="001578E3"/>
    <w:rsid w:val="00161DE0"/>
    <w:rsid w:val="001756C7"/>
    <w:rsid w:val="0017731F"/>
    <w:rsid w:val="00182B33"/>
    <w:rsid w:val="0019066F"/>
    <w:rsid w:val="00195EF0"/>
    <w:rsid w:val="001A2A3C"/>
    <w:rsid w:val="001A411A"/>
    <w:rsid w:val="001A76F6"/>
    <w:rsid w:val="001B307E"/>
    <w:rsid w:val="001B3353"/>
    <w:rsid w:val="001B7D84"/>
    <w:rsid w:val="001E6A49"/>
    <w:rsid w:val="001F01FE"/>
    <w:rsid w:val="001F211E"/>
    <w:rsid w:val="001F4B4E"/>
    <w:rsid w:val="001F709B"/>
    <w:rsid w:val="00220F6D"/>
    <w:rsid w:val="00224CF8"/>
    <w:rsid w:val="00230BB1"/>
    <w:rsid w:val="00232A55"/>
    <w:rsid w:val="00241BA4"/>
    <w:rsid w:val="00245D2E"/>
    <w:rsid w:val="0025374F"/>
    <w:rsid w:val="00254BA5"/>
    <w:rsid w:val="002562CB"/>
    <w:rsid w:val="00256649"/>
    <w:rsid w:val="00256D0D"/>
    <w:rsid w:val="002623B5"/>
    <w:rsid w:val="002704A7"/>
    <w:rsid w:val="002709A3"/>
    <w:rsid w:val="002830B5"/>
    <w:rsid w:val="002840F0"/>
    <w:rsid w:val="00284CFB"/>
    <w:rsid w:val="00285309"/>
    <w:rsid w:val="0029381D"/>
    <w:rsid w:val="002939F5"/>
    <w:rsid w:val="00293A04"/>
    <w:rsid w:val="002A06EB"/>
    <w:rsid w:val="002A0D9B"/>
    <w:rsid w:val="002B4968"/>
    <w:rsid w:val="002B7D4E"/>
    <w:rsid w:val="002C0A28"/>
    <w:rsid w:val="002C350B"/>
    <w:rsid w:val="002D0098"/>
    <w:rsid w:val="002E6652"/>
    <w:rsid w:val="002F3016"/>
    <w:rsid w:val="002F418C"/>
    <w:rsid w:val="002F4D52"/>
    <w:rsid w:val="002F57F5"/>
    <w:rsid w:val="0031244D"/>
    <w:rsid w:val="003134A4"/>
    <w:rsid w:val="003178AA"/>
    <w:rsid w:val="003218C0"/>
    <w:rsid w:val="003227B3"/>
    <w:rsid w:val="00331A2A"/>
    <w:rsid w:val="0033564F"/>
    <w:rsid w:val="0033610A"/>
    <w:rsid w:val="0034054E"/>
    <w:rsid w:val="00342F46"/>
    <w:rsid w:val="00344248"/>
    <w:rsid w:val="003444B5"/>
    <w:rsid w:val="00347FCE"/>
    <w:rsid w:val="0035299E"/>
    <w:rsid w:val="003560E2"/>
    <w:rsid w:val="0038722A"/>
    <w:rsid w:val="00391880"/>
    <w:rsid w:val="00394A42"/>
    <w:rsid w:val="003A060B"/>
    <w:rsid w:val="003A2DA5"/>
    <w:rsid w:val="003A2F05"/>
    <w:rsid w:val="003A5149"/>
    <w:rsid w:val="003A5506"/>
    <w:rsid w:val="003A6636"/>
    <w:rsid w:val="003B06DE"/>
    <w:rsid w:val="003B07D4"/>
    <w:rsid w:val="003B5D40"/>
    <w:rsid w:val="003C09A4"/>
    <w:rsid w:val="003C1605"/>
    <w:rsid w:val="003C4D52"/>
    <w:rsid w:val="003C5D12"/>
    <w:rsid w:val="003C6A1A"/>
    <w:rsid w:val="003D0E4F"/>
    <w:rsid w:val="003D6EA1"/>
    <w:rsid w:val="003E1379"/>
    <w:rsid w:val="003E1C14"/>
    <w:rsid w:val="003F5C79"/>
    <w:rsid w:val="00403C9C"/>
    <w:rsid w:val="0040413B"/>
    <w:rsid w:val="00407BBD"/>
    <w:rsid w:val="00413CEA"/>
    <w:rsid w:val="00414E86"/>
    <w:rsid w:val="00417A9E"/>
    <w:rsid w:val="00420B37"/>
    <w:rsid w:val="00422F82"/>
    <w:rsid w:val="00426EE4"/>
    <w:rsid w:val="00430FE2"/>
    <w:rsid w:val="00441D83"/>
    <w:rsid w:val="004513FA"/>
    <w:rsid w:val="00454D82"/>
    <w:rsid w:val="00456177"/>
    <w:rsid w:val="0045738A"/>
    <w:rsid w:val="0046519A"/>
    <w:rsid w:val="0047094F"/>
    <w:rsid w:val="00471593"/>
    <w:rsid w:val="00477245"/>
    <w:rsid w:val="00491B44"/>
    <w:rsid w:val="00492158"/>
    <w:rsid w:val="004A1815"/>
    <w:rsid w:val="004A55F3"/>
    <w:rsid w:val="004B08AE"/>
    <w:rsid w:val="004B12B3"/>
    <w:rsid w:val="004B517A"/>
    <w:rsid w:val="004B76E6"/>
    <w:rsid w:val="004C0C5C"/>
    <w:rsid w:val="004C17AC"/>
    <w:rsid w:val="004D20CF"/>
    <w:rsid w:val="004D67E9"/>
    <w:rsid w:val="004E2437"/>
    <w:rsid w:val="004E3885"/>
    <w:rsid w:val="004F62D3"/>
    <w:rsid w:val="0051569B"/>
    <w:rsid w:val="00517B72"/>
    <w:rsid w:val="00523424"/>
    <w:rsid w:val="00542FF0"/>
    <w:rsid w:val="005433D6"/>
    <w:rsid w:val="00544B7F"/>
    <w:rsid w:val="00545176"/>
    <w:rsid w:val="00547979"/>
    <w:rsid w:val="005500F2"/>
    <w:rsid w:val="00551709"/>
    <w:rsid w:val="005520F0"/>
    <w:rsid w:val="00553420"/>
    <w:rsid w:val="00553883"/>
    <w:rsid w:val="005606D1"/>
    <w:rsid w:val="005631EB"/>
    <w:rsid w:val="00570649"/>
    <w:rsid w:val="00570BFB"/>
    <w:rsid w:val="0057174E"/>
    <w:rsid w:val="005754D8"/>
    <w:rsid w:val="00577D04"/>
    <w:rsid w:val="00587FB7"/>
    <w:rsid w:val="00590AC3"/>
    <w:rsid w:val="00593F91"/>
    <w:rsid w:val="0059481D"/>
    <w:rsid w:val="00596B83"/>
    <w:rsid w:val="005A2844"/>
    <w:rsid w:val="005A4971"/>
    <w:rsid w:val="005B0E46"/>
    <w:rsid w:val="005B1116"/>
    <w:rsid w:val="005B72FA"/>
    <w:rsid w:val="005C1EC3"/>
    <w:rsid w:val="005D4ABA"/>
    <w:rsid w:val="005F485C"/>
    <w:rsid w:val="00600075"/>
    <w:rsid w:val="006014AB"/>
    <w:rsid w:val="006028AF"/>
    <w:rsid w:val="006030F8"/>
    <w:rsid w:val="006040FE"/>
    <w:rsid w:val="0061530C"/>
    <w:rsid w:val="00621114"/>
    <w:rsid w:val="00621D12"/>
    <w:rsid w:val="0062338B"/>
    <w:rsid w:val="00623FAA"/>
    <w:rsid w:val="00624FAF"/>
    <w:rsid w:val="0062526C"/>
    <w:rsid w:val="006321A8"/>
    <w:rsid w:val="00633DE6"/>
    <w:rsid w:val="00635E66"/>
    <w:rsid w:val="00640139"/>
    <w:rsid w:val="0064052B"/>
    <w:rsid w:val="006417ED"/>
    <w:rsid w:val="0064263A"/>
    <w:rsid w:val="006523A9"/>
    <w:rsid w:val="006566D7"/>
    <w:rsid w:val="00661652"/>
    <w:rsid w:val="00663EF5"/>
    <w:rsid w:val="006702BB"/>
    <w:rsid w:val="00670F38"/>
    <w:rsid w:val="00673ED9"/>
    <w:rsid w:val="00680E82"/>
    <w:rsid w:val="006905EC"/>
    <w:rsid w:val="006938B1"/>
    <w:rsid w:val="00696246"/>
    <w:rsid w:val="006A402E"/>
    <w:rsid w:val="006A7E47"/>
    <w:rsid w:val="006B1A7B"/>
    <w:rsid w:val="006C2EFD"/>
    <w:rsid w:val="006D50F8"/>
    <w:rsid w:val="006D6EBC"/>
    <w:rsid w:val="006D7817"/>
    <w:rsid w:val="006E17B4"/>
    <w:rsid w:val="006E7423"/>
    <w:rsid w:val="00702893"/>
    <w:rsid w:val="007163F7"/>
    <w:rsid w:val="00716948"/>
    <w:rsid w:val="00721906"/>
    <w:rsid w:val="00724D8D"/>
    <w:rsid w:val="00725C1E"/>
    <w:rsid w:val="00730426"/>
    <w:rsid w:val="00730DDE"/>
    <w:rsid w:val="007321EE"/>
    <w:rsid w:val="00735603"/>
    <w:rsid w:val="00741215"/>
    <w:rsid w:val="00745434"/>
    <w:rsid w:val="0076506F"/>
    <w:rsid w:val="007679F0"/>
    <w:rsid w:val="00793387"/>
    <w:rsid w:val="007937AD"/>
    <w:rsid w:val="00796721"/>
    <w:rsid w:val="007B08F3"/>
    <w:rsid w:val="007B1461"/>
    <w:rsid w:val="007B2A91"/>
    <w:rsid w:val="007B463E"/>
    <w:rsid w:val="007C13E8"/>
    <w:rsid w:val="007C2C4D"/>
    <w:rsid w:val="007C3A0F"/>
    <w:rsid w:val="007D05B0"/>
    <w:rsid w:val="007D0D86"/>
    <w:rsid w:val="007D567E"/>
    <w:rsid w:val="007D5E5B"/>
    <w:rsid w:val="007D7BCB"/>
    <w:rsid w:val="007F4387"/>
    <w:rsid w:val="00800DDC"/>
    <w:rsid w:val="008065C5"/>
    <w:rsid w:val="00820F31"/>
    <w:rsid w:val="00824FD2"/>
    <w:rsid w:val="0083389F"/>
    <w:rsid w:val="00845189"/>
    <w:rsid w:val="00847BC6"/>
    <w:rsid w:val="00850091"/>
    <w:rsid w:val="00855EC6"/>
    <w:rsid w:val="0086032E"/>
    <w:rsid w:val="00867455"/>
    <w:rsid w:val="00877A5C"/>
    <w:rsid w:val="008A0582"/>
    <w:rsid w:val="008A2737"/>
    <w:rsid w:val="008A364F"/>
    <w:rsid w:val="008A3B5F"/>
    <w:rsid w:val="008B1BCE"/>
    <w:rsid w:val="008B2C9A"/>
    <w:rsid w:val="008B3001"/>
    <w:rsid w:val="008B5037"/>
    <w:rsid w:val="008C0AEF"/>
    <w:rsid w:val="008C11F6"/>
    <w:rsid w:val="008C6643"/>
    <w:rsid w:val="008C6FD8"/>
    <w:rsid w:val="008D23AC"/>
    <w:rsid w:val="008D313F"/>
    <w:rsid w:val="008D4784"/>
    <w:rsid w:val="008E4934"/>
    <w:rsid w:val="008E6C3B"/>
    <w:rsid w:val="008F489C"/>
    <w:rsid w:val="0090000C"/>
    <w:rsid w:val="00902E48"/>
    <w:rsid w:val="009123F9"/>
    <w:rsid w:val="00915F42"/>
    <w:rsid w:val="00921B0D"/>
    <w:rsid w:val="00922F65"/>
    <w:rsid w:val="00924C97"/>
    <w:rsid w:val="0094343D"/>
    <w:rsid w:val="009435E5"/>
    <w:rsid w:val="0094367D"/>
    <w:rsid w:val="00944F73"/>
    <w:rsid w:val="0094718A"/>
    <w:rsid w:val="00953278"/>
    <w:rsid w:val="00954693"/>
    <w:rsid w:val="00954B92"/>
    <w:rsid w:val="00962151"/>
    <w:rsid w:val="00962883"/>
    <w:rsid w:val="00962E48"/>
    <w:rsid w:val="00964F40"/>
    <w:rsid w:val="00971967"/>
    <w:rsid w:val="00974A0A"/>
    <w:rsid w:val="00975F6A"/>
    <w:rsid w:val="009911F8"/>
    <w:rsid w:val="00991367"/>
    <w:rsid w:val="009933E2"/>
    <w:rsid w:val="00993C39"/>
    <w:rsid w:val="00994AE3"/>
    <w:rsid w:val="009A7928"/>
    <w:rsid w:val="009B08DC"/>
    <w:rsid w:val="009B3C65"/>
    <w:rsid w:val="009C08B6"/>
    <w:rsid w:val="009C53CD"/>
    <w:rsid w:val="009D2AE1"/>
    <w:rsid w:val="009E17CF"/>
    <w:rsid w:val="009E1F3D"/>
    <w:rsid w:val="009F207D"/>
    <w:rsid w:val="00A0187C"/>
    <w:rsid w:val="00A02DE9"/>
    <w:rsid w:val="00A07B1A"/>
    <w:rsid w:val="00A10EB8"/>
    <w:rsid w:val="00A16F12"/>
    <w:rsid w:val="00A20FE6"/>
    <w:rsid w:val="00A30A80"/>
    <w:rsid w:val="00A337CF"/>
    <w:rsid w:val="00A417D5"/>
    <w:rsid w:val="00A43C4A"/>
    <w:rsid w:val="00A45C20"/>
    <w:rsid w:val="00A51A95"/>
    <w:rsid w:val="00A620EF"/>
    <w:rsid w:val="00A6259C"/>
    <w:rsid w:val="00A64DBF"/>
    <w:rsid w:val="00A64ED9"/>
    <w:rsid w:val="00A67BCC"/>
    <w:rsid w:val="00A72473"/>
    <w:rsid w:val="00A76D34"/>
    <w:rsid w:val="00A96604"/>
    <w:rsid w:val="00AA4A6B"/>
    <w:rsid w:val="00AA75AC"/>
    <w:rsid w:val="00AB06D5"/>
    <w:rsid w:val="00AB3D16"/>
    <w:rsid w:val="00AD7048"/>
    <w:rsid w:val="00AE6A47"/>
    <w:rsid w:val="00B006AC"/>
    <w:rsid w:val="00B1094C"/>
    <w:rsid w:val="00B15396"/>
    <w:rsid w:val="00B154D2"/>
    <w:rsid w:val="00B21C38"/>
    <w:rsid w:val="00B250FB"/>
    <w:rsid w:val="00B2740B"/>
    <w:rsid w:val="00B307E7"/>
    <w:rsid w:val="00B30C83"/>
    <w:rsid w:val="00B37788"/>
    <w:rsid w:val="00B54723"/>
    <w:rsid w:val="00B54A0B"/>
    <w:rsid w:val="00B56444"/>
    <w:rsid w:val="00B76420"/>
    <w:rsid w:val="00B859C7"/>
    <w:rsid w:val="00B85A58"/>
    <w:rsid w:val="00B918D9"/>
    <w:rsid w:val="00B924E3"/>
    <w:rsid w:val="00B94B3E"/>
    <w:rsid w:val="00B96F43"/>
    <w:rsid w:val="00BB0F59"/>
    <w:rsid w:val="00BB315D"/>
    <w:rsid w:val="00BB4615"/>
    <w:rsid w:val="00BB5D51"/>
    <w:rsid w:val="00BC072E"/>
    <w:rsid w:val="00BC26C7"/>
    <w:rsid w:val="00BC3B80"/>
    <w:rsid w:val="00BD28B5"/>
    <w:rsid w:val="00BD2CB2"/>
    <w:rsid w:val="00BF2860"/>
    <w:rsid w:val="00BF291F"/>
    <w:rsid w:val="00BF6537"/>
    <w:rsid w:val="00BF7A84"/>
    <w:rsid w:val="00C05D82"/>
    <w:rsid w:val="00C12761"/>
    <w:rsid w:val="00C165E1"/>
    <w:rsid w:val="00C21437"/>
    <w:rsid w:val="00C257AB"/>
    <w:rsid w:val="00C26E06"/>
    <w:rsid w:val="00C33452"/>
    <w:rsid w:val="00C3664F"/>
    <w:rsid w:val="00C36AB9"/>
    <w:rsid w:val="00C4417C"/>
    <w:rsid w:val="00C44DAA"/>
    <w:rsid w:val="00C4530A"/>
    <w:rsid w:val="00C46DEE"/>
    <w:rsid w:val="00C51313"/>
    <w:rsid w:val="00C54B2A"/>
    <w:rsid w:val="00C60BF1"/>
    <w:rsid w:val="00C75E28"/>
    <w:rsid w:val="00C82368"/>
    <w:rsid w:val="00C8417E"/>
    <w:rsid w:val="00C953E0"/>
    <w:rsid w:val="00CA09FE"/>
    <w:rsid w:val="00CA245B"/>
    <w:rsid w:val="00CA422F"/>
    <w:rsid w:val="00CA7E58"/>
    <w:rsid w:val="00CB0770"/>
    <w:rsid w:val="00CB1F77"/>
    <w:rsid w:val="00CC728B"/>
    <w:rsid w:val="00CD3983"/>
    <w:rsid w:val="00CD3C7B"/>
    <w:rsid w:val="00CD45E1"/>
    <w:rsid w:val="00CE49F5"/>
    <w:rsid w:val="00CE6439"/>
    <w:rsid w:val="00CE78DE"/>
    <w:rsid w:val="00CF3C00"/>
    <w:rsid w:val="00CF689A"/>
    <w:rsid w:val="00CF75B1"/>
    <w:rsid w:val="00D01D18"/>
    <w:rsid w:val="00D13C89"/>
    <w:rsid w:val="00D14D5A"/>
    <w:rsid w:val="00D30B34"/>
    <w:rsid w:val="00D33270"/>
    <w:rsid w:val="00D43E41"/>
    <w:rsid w:val="00D7516F"/>
    <w:rsid w:val="00D754E0"/>
    <w:rsid w:val="00D77B0A"/>
    <w:rsid w:val="00D867B6"/>
    <w:rsid w:val="00D930D9"/>
    <w:rsid w:val="00D930DB"/>
    <w:rsid w:val="00DA59B7"/>
    <w:rsid w:val="00DA68AD"/>
    <w:rsid w:val="00DB7A40"/>
    <w:rsid w:val="00DC6A14"/>
    <w:rsid w:val="00DD01DE"/>
    <w:rsid w:val="00DD335C"/>
    <w:rsid w:val="00DD5DA5"/>
    <w:rsid w:val="00DE0989"/>
    <w:rsid w:val="00DE0BB1"/>
    <w:rsid w:val="00DF63BC"/>
    <w:rsid w:val="00DF7FCE"/>
    <w:rsid w:val="00E1147C"/>
    <w:rsid w:val="00E11B35"/>
    <w:rsid w:val="00E17C32"/>
    <w:rsid w:val="00E403AC"/>
    <w:rsid w:val="00E43191"/>
    <w:rsid w:val="00E45B32"/>
    <w:rsid w:val="00E80158"/>
    <w:rsid w:val="00E8176B"/>
    <w:rsid w:val="00E82089"/>
    <w:rsid w:val="00E8324F"/>
    <w:rsid w:val="00E938A1"/>
    <w:rsid w:val="00E97DF2"/>
    <w:rsid w:val="00EA4081"/>
    <w:rsid w:val="00EA5BC8"/>
    <w:rsid w:val="00EB0880"/>
    <w:rsid w:val="00EB61D6"/>
    <w:rsid w:val="00EC527D"/>
    <w:rsid w:val="00ED1672"/>
    <w:rsid w:val="00ED1F46"/>
    <w:rsid w:val="00ED411B"/>
    <w:rsid w:val="00EF21CF"/>
    <w:rsid w:val="00EF7B3D"/>
    <w:rsid w:val="00F057F6"/>
    <w:rsid w:val="00F06216"/>
    <w:rsid w:val="00F128F4"/>
    <w:rsid w:val="00F16023"/>
    <w:rsid w:val="00F4625D"/>
    <w:rsid w:val="00F64593"/>
    <w:rsid w:val="00F645AA"/>
    <w:rsid w:val="00F65B21"/>
    <w:rsid w:val="00F77341"/>
    <w:rsid w:val="00F80E4A"/>
    <w:rsid w:val="00F829C8"/>
    <w:rsid w:val="00F8786E"/>
    <w:rsid w:val="00FA4607"/>
    <w:rsid w:val="00FB3112"/>
    <w:rsid w:val="00FB663F"/>
    <w:rsid w:val="00FB7E1E"/>
    <w:rsid w:val="00FC2DA5"/>
    <w:rsid w:val="00FC4F60"/>
    <w:rsid w:val="00FC767D"/>
    <w:rsid w:val="00FE40A8"/>
    <w:rsid w:val="00FE467C"/>
    <w:rsid w:val="00FE4D41"/>
    <w:rsid w:val="00FF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407B"/>
  <w15:docId w15:val="{4061D972-51D0-4A84-A847-F808ADA0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46E"/>
  </w:style>
  <w:style w:type="paragraph" w:styleId="1">
    <w:name w:val="heading 1"/>
    <w:basedOn w:val="a"/>
    <w:next w:val="a"/>
    <w:link w:val="10"/>
    <w:uiPriority w:val="9"/>
    <w:qFormat/>
    <w:rsid w:val="003D6E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E74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F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6F43"/>
    <w:rPr>
      <w:rFonts w:ascii="Tahoma" w:hAnsi="Tahoma" w:cs="Tahoma"/>
      <w:sz w:val="16"/>
      <w:szCs w:val="16"/>
    </w:rPr>
  </w:style>
  <w:style w:type="paragraph" w:styleId="a5">
    <w:name w:val="footnote text"/>
    <w:basedOn w:val="a"/>
    <w:link w:val="a6"/>
    <w:uiPriority w:val="99"/>
    <w:semiHidden/>
    <w:unhideWhenUsed/>
    <w:rsid w:val="00640139"/>
    <w:pPr>
      <w:spacing w:after="0" w:line="240" w:lineRule="auto"/>
    </w:pPr>
    <w:rPr>
      <w:sz w:val="20"/>
      <w:szCs w:val="20"/>
    </w:rPr>
  </w:style>
  <w:style w:type="character" w:customStyle="1" w:styleId="a6">
    <w:name w:val="Текст сноски Знак"/>
    <w:basedOn w:val="a0"/>
    <w:link w:val="a5"/>
    <w:uiPriority w:val="99"/>
    <w:semiHidden/>
    <w:rsid w:val="00640139"/>
    <w:rPr>
      <w:sz w:val="20"/>
      <w:szCs w:val="20"/>
    </w:rPr>
  </w:style>
  <w:style w:type="table" w:styleId="a7">
    <w:name w:val="Table Grid"/>
    <w:basedOn w:val="a1"/>
    <w:uiPriority w:val="59"/>
    <w:rsid w:val="00640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uiPriority w:val="99"/>
    <w:semiHidden/>
    <w:unhideWhenUsed/>
    <w:rsid w:val="00640139"/>
    <w:rPr>
      <w:vertAlign w:val="superscript"/>
    </w:rPr>
  </w:style>
  <w:style w:type="paragraph" w:styleId="a9">
    <w:name w:val="header"/>
    <w:basedOn w:val="a"/>
    <w:link w:val="aa"/>
    <w:uiPriority w:val="99"/>
    <w:unhideWhenUsed/>
    <w:rsid w:val="00CE49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49F5"/>
  </w:style>
  <w:style w:type="paragraph" w:styleId="ab">
    <w:name w:val="footer"/>
    <w:basedOn w:val="a"/>
    <w:link w:val="ac"/>
    <w:uiPriority w:val="99"/>
    <w:unhideWhenUsed/>
    <w:rsid w:val="00CE49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49F5"/>
  </w:style>
  <w:style w:type="paragraph" w:styleId="ad">
    <w:name w:val="List Paragraph"/>
    <w:basedOn w:val="a"/>
    <w:link w:val="ae"/>
    <w:qFormat/>
    <w:rsid w:val="00BF6537"/>
    <w:pPr>
      <w:ind w:left="720"/>
      <w:contextualSpacing/>
    </w:pPr>
  </w:style>
  <w:style w:type="paragraph" w:customStyle="1" w:styleId="1c">
    <w:name w:val="Абзац1 c отступом"/>
    <w:basedOn w:val="a"/>
    <w:rsid w:val="001756C7"/>
    <w:pPr>
      <w:widowControl w:val="0"/>
      <w:spacing w:after="60" w:line="360" w:lineRule="exact"/>
      <w:ind w:firstLine="709"/>
      <w:jc w:val="both"/>
    </w:pPr>
    <w:rPr>
      <w:rFonts w:ascii="Times New Roman" w:eastAsia="Times New Roman" w:hAnsi="Times New Roman" w:cs="Times New Roman"/>
      <w:sz w:val="28"/>
      <w:szCs w:val="20"/>
      <w:lang w:eastAsia="ru-RU"/>
    </w:rPr>
  </w:style>
  <w:style w:type="paragraph" w:styleId="af">
    <w:name w:val="Body Text Indent"/>
    <w:basedOn w:val="a"/>
    <w:link w:val="af0"/>
    <w:rsid w:val="009D2AE1"/>
    <w:pPr>
      <w:spacing w:after="120" w:line="240" w:lineRule="auto"/>
      <w:ind w:left="283"/>
    </w:pPr>
    <w:rPr>
      <w:rFonts w:ascii="Arial" w:eastAsia="Times New Roman" w:hAnsi="Arial" w:cs="Times New Roman"/>
      <w:sz w:val="24"/>
      <w:szCs w:val="20"/>
      <w:lang w:eastAsia="ru-RU"/>
    </w:rPr>
  </w:style>
  <w:style w:type="character" w:customStyle="1" w:styleId="af0">
    <w:name w:val="Основной текст с отступом Знак"/>
    <w:basedOn w:val="a0"/>
    <w:link w:val="af"/>
    <w:rsid w:val="009D2AE1"/>
    <w:rPr>
      <w:rFonts w:ascii="Arial" w:eastAsia="Times New Roman" w:hAnsi="Arial" w:cs="Times New Roman"/>
      <w:sz w:val="24"/>
      <w:szCs w:val="20"/>
      <w:lang w:eastAsia="ru-RU"/>
    </w:rPr>
  </w:style>
  <w:style w:type="paragraph" w:styleId="af1">
    <w:name w:val="Normal (Web)"/>
    <w:basedOn w:val="a"/>
    <w:uiPriority w:val="99"/>
    <w:unhideWhenUsed/>
    <w:rsid w:val="00245D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DB7A40"/>
    <w:pPr>
      <w:spacing w:after="120"/>
    </w:pPr>
  </w:style>
  <w:style w:type="character" w:customStyle="1" w:styleId="af3">
    <w:name w:val="Основной текст Знак"/>
    <w:basedOn w:val="a0"/>
    <w:link w:val="af2"/>
    <w:uiPriority w:val="99"/>
    <w:rsid w:val="00DB7A40"/>
  </w:style>
  <w:style w:type="paragraph" w:styleId="af4">
    <w:name w:val="No Spacing"/>
    <w:uiPriority w:val="1"/>
    <w:qFormat/>
    <w:rsid w:val="00975F6A"/>
    <w:pPr>
      <w:spacing w:after="0" w:line="240" w:lineRule="auto"/>
    </w:pPr>
    <w:rPr>
      <w:rFonts w:ascii="Calibri" w:eastAsia="Times New Roman" w:hAnsi="Calibri" w:cs="Times New Roman"/>
      <w:lang w:eastAsia="ru-RU"/>
    </w:rPr>
  </w:style>
  <w:style w:type="paragraph" w:styleId="21">
    <w:name w:val="Body Text 2"/>
    <w:basedOn w:val="a"/>
    <w:link w:val="22"/>
    <w:uiPriority w:val="99"/>
    <w:semiHidden/>
    <w:unhideWhenUsed/>
    <w:rsid w:val="00DD01DE"/>
    <w:pPr>
      <w:spacing w:after="120" w:line="480" w:lineRule="auto"/>
    </w:pPr>
  </w:style>
  <w:style w:type="character" w:customStyle="1" w:styleId="22">
    <w:name w:val="Основной текст 2 Знак"/>
    <w:basedOn w:val="a0"/>
    <w:link w:val="21"/>
    <w:uiPriority w:val="99"/>
    <w:semiHidden/>
    <w:rsid w:val="00DD01DE"/>
  </w:style>
  <w:style w:type="paragraph" w:customStyle="1" w:styleId="formattext">
    <w:name w:val="formattext"/>
    <w:basedOn w:val="a"/>
    <w:rsid w:val="00DD01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1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3D6EA1"/>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AA75A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Iioaioo">
    <w:name w:val="Ii oaio?o"/>
    <w:basedOn w:val="a"/>
    <w:rsid w:val="00AA75AC"/>
    <w:pPr>
      <w:keepNext/>
      <w:keepLines/>
      <w:spacing w:before="240" w:after="240" w:line="240" w:lineRule="auto"/>
      <w:jc w:val="center"/>
    </w:pPr>
    <w:rPr>
      <w:rFonts w:ascii="Times New Roman" w:eastAsia="Times New Roman" w:hAnsi="Times New Roman" w:cs="Times New Roman"/>
      <w:b/>
      <w:sz w:val="28"/>
      <w:szCs w:val="20"/>
      <w:lang w:eastAsia="ru-RU"/>
    </w:rPr>
  </w:style>
  <w:style w:type="paragraph" w:customStyle="1" w:styleId="af5">
    <w:name w:val="Первая строка заголовка"/>
    <w:basedOn w:val="a"/>
    <w:rsid w:val="00AA75AC"/>
    <w:pPr>
      <w:keepNext/>
      <w:keepLines/>
      <w:spacing w:before="960" w:after="120" w:line="240" w:lineRule="auto"/>
      <w:jc w:val="center"/>
    </w:pPr>
    <w:rPr>
      <w:rFonts w:ascii="Times New Roman" w:eastAsia="Times New Roman" w:hAnsi="Times New Roman" w:cs="Times New Roman"/>
      <w:b/>
      <w:noProof/>
      <w:sz w:val="32"/>
      <w:szCs w:val="20"/>
      <w:lang w:eastAsia="ru-RU"/>
    </w:rPr>
  </w:style>
  <w:style w:type="paragraph" w:customStyle="1" w:styleId="11">
    <w:name w:val="Без интервала1"/>
    <w:semiHidden/>
    <w:rsid w:val="00CF689A"/>
    <w:pPr>
      <w:spacing w:after="0" w:line="240" w:lineRule="auto"/>
    </w:pPr>
    <w:rPr>
      <w:rFonts w:ascii="Calibri" w:eastAsia="Calibri" w:hAnsi="Calibri" w:cs="Times New Roman"/>
      <w:lang w:eastAsia="ru-RU"/>
    </w:rPr>
  </w:style>
  <w:style w:type="character" w:customStyle="1" w:styleId="20">
    <w:name w:val="Заголовок 2 Знак"/>
    <w:basedOn w:val="a0"/>
    <w:link w:val="2"/>
    <w:uiPriority w:val="9"/>
    <w:rsid w:val="006E7423"/>
    <w:rPr>
      <w:rFonts w:asciiTheme="majorHAnsi" w:eastAsiaTheme="majorEastAsia" w:hAnsiTheme="majorHAnsi" w:cstheme="majorBidi"/>
      <w:color w:val="365F91" w:themeColor="accent1" w:themeShade="BF"/>
      <w:sz w:val="26"/>
      <w:szCs w:val="26"/>
    </w:rPr>
  </w:style>
  <w:style w:type="character" w:styleId="af6">
    <w:name w:val="Hyperlink"/>
    <w:uiPriority w:val="99"/>
    <w:rsid w:val="00517B72"/>
    <w:rPr>
      <w:color w:val="0000FF"/>
      <w:u w:val="single"/>
    </w:rPr>
  </w:style>
  <w:style w:type="character" w:styleId="af7">
    <w:name w:val="Strong"/>
    <w:basedOn w:val="a0"/>
    <w:uiPriority w:val="22"/>
    <w:qFormat/>
    <w:rsid w:val="0011707A"/>
    <w:rPr>
      <w:b/>
      <w:bCs/>
    </w:rPr>
  </w:style>
  <w:style w:type="character" w:customStyle="1" w:styleId="ae">
    <w:name w:val="Абзац списка Знак"/>
    <w:basedOn w:val="a0"/>
    <w:link w:val="ad"/>
    <w:rsid w:val="0011707A"/>
  </w:style>
  <w:style w:type="paragraph" w:customStyle="1" w:styleId="12">
    <w:name w:val="Стиль1"/>
    <w:basedOn w:val="af4"/>
    <w:link w:val="13"/>
    <w:autoRedefine/>
    <w:qFormat/>
    <w:rsid w:val="003218C0"/>
    <w:pPr>
      <w:jc w:val="both"/>
    </w:pPr>
    <w:rPr>
      <w:rFonts w:ascii="Arial" w:hAnsi="Arial" w:cs="Arial"/>
      <w:sz w:val="24"/>
      <w:szCs w:val="24"/>
      <w:lang w:eastAsia="en-US"/>
    </w:rPr>
  </w:style>
  <w:style w:type="character" w:customStyle="1" w:styleId="13">
    <w:name w:val="Стиль1 Знак"/>
    <w:basedOn w:val="a0"/>
    <w:link w:val="12"/>
    <w:locked/>
    <w:rsid w:val="003218C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7806">
      <w:bodyDiv w:val="1"/>
      <w:marLeft w:val="0"/>
      <w:marRight w:val="0"/>
      <w:marTop w:val="0"/>
      <w:marBottom w:val="0"/>
      <w:divBdr>
        <w:top w:val="none" w:sz="0" w:space="0" w:color="auto"/>
        <w:left w:val="none" w:sz="0" w:space="0" w:color="auto"/>
        <w:bottom w:val="none" w:sz="0" w:space="0" w:color="auto"/>
        <w:right w:val="none" w:sz="0" w:space="0" w:color="auto"/>
      </w:divBdr>
    </w:div>
    <w:div w:id="734206004">
      <w:bodyDiv w:val="1"/>
      <w:marLeft w:val="0"/>
      <w:marRight w:val="0"/>
      <w:marTop w:val="0"/>
      <w:marBottom w:val="0"/>
      <w:divBdr>
        <w:top w:val="none" w:sz="0" w:space="0" w:color="auto"/>
        <w:left w:val="none" w:sz="0" w:space="0" w:color="auto"/>
        <w:bottom w:val="none" w:sz="0" w:space="0" w:color="auto"/>
        <w:right w:val="none" w:sz="0" w:space="0" w:color="auto"/>
      </w:divBdr>
    </w:div>
    <w:div w:id="1206212965">
      <w:bodyDiv w:val="1"/>
      <w:marLeft w:val="0"/>
      <w:marRight w:val="0"/>
      <w:marTop w:val="0"/>
      <w:marBottom w:val="0"/>
      <w:divBdr>
        <w:top w:val="none" w:sz="0" w:space="0" w:color="auto"/>
        <w:left w:val="none" w:sz="0" w:space="0" w:color="auto"/>
        <w:bottom w:val="none" w:sz="0" w:space="0" w:color="auto"/>
        <w:right w:val="none" w:sz="0" w:space="0" w:color="auto"/>
      </w:divBdr>
    </w:div>
    <w:div w:id="1215196179">
      <w:bodyDiv w:val="1"/>
      <w:marLeft w:val="0"/>
      <w:marRight w:val="0"/>
      <w:marTop w:val="0"/>
      <w:marBottom w:val="0"/>
      <w:divBdr>
        <w:top w:val="none" w:sz="0" w:space="0" w:color="auto"/>
        <w:left w:val="none" w:sz="0" w:space="0" w:color="auto"/>
        <w:bottom w:val="none" w:sz="0" w:space="0" w:color="auto"/>
        <w:right w:val="none" w:sz="0" w:space="0" w:color="auto"/>
      </w:divBdr>
    </w:div>
    <w:div w:id="1528593095">
      <w:bodyDiv w:val="1"/>
      <w:marLeft w:val="0"/>
      <w:marRight w:val="0"/>
      <w:marTop w:val="0"/>
      <w:marBottom w:val="0"/>
      <w:divBdr>
        <w:top w:val="none" w:sz="0" w:space="0" w:color="auto"/>
        <w:left w:val="none" w:sz="0" w:space="0" w:color="auto"/>
        <w:bottom w:val="none" w:sz="0" w:space="0" w:color="auto"/>
        <w:right w:val="none" w:sz="0" w:space="0" w:color="auto"/>
      </w:divBdr>
    </w:div>
    <w:div w:id="185002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ransk-r43.gosweb.gosuslugi.ru/" TargetMode="External"/><Relationship Id="rId4" Type="http://schemas.openxmlformats.org/officeDocument/2006/relationships/settings" Target="settings.xml"/><Relationship Id="rId9" Type="http://schemas.openxmlformats.org/officeDocument/2006/relationships/hyperlink" Target="https://login.consultant.ru/link/?req=doc&amp;base=LAW&amp;n=122703&amp;dst=101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01F88-33AA-4AF4-8430-268ED41C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4347</Words>
  <Characters>24780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ZavYur</cp:lastModifiedBy>
  <cp:revision>3</cp:revision>
  <cp:lastPrinted>2025-02-21T11:35:00Z</cp:lastPrinted>
  <dcterms:created xsi:type="dcterms:W3CDTF">2025-03-13T04:55:00Z</dcterms:created>
  <dcterms:modified xsi:type="dcterms:W3CDTF">2025-03-13T04:58:00Z</dcterms:modified>
</cp:coreProperties>
</file>