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 w:rsidR="0057783C">
        <w:rPr>
          <w:b/>
          <w:sz w:val="24"/>
          <w:szCs w:val="24"/>
        </w:rPr>
        <w:t>2</w:t>
      </w:r>
      <w:r w:rsidR="007C035E">
        <w:rPr>
          <w:b/>
          <w:sz w:val="24"/>
          <w:szCs w:val="24"/>
        </w:rPr>
        <w:t>6</w:t>
      </w:r>
      <w:r w:rsidR="0057783C">
        <w:rPr>
          <w:b/>
          <w:sz w:val="24"/>
          <w:szCs w:val="24"/>
        </w:rPr>
        <w:t>.0</w:t>
      </w:r>
      <w:r w:rsidR="007C035E">
        <w:rPr>
          <w:b/>
          <w:sz w:val="24"/>
          <w:szCs w:val="24"/>
        </w:rPr>
        <w:t>7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 w:rsidR="007C035E">
        <w:rPr>
          <w:b/>
          <w:sz w:val="24"/>
          <w:szCs w:val="24"/>
        </w:rPr>
        <w:t>469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8" w:rsidRPr="006C359F" w:rsidRDefault="00585F48" w:rsidP="00585F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>Общий объем финансирования муниципальной программы составит           4</w:t>
            </w:r>
            <w:r>
              <w:rPr>
                <w:sz w:val="24"/>
                <w:szCs w:val="24"/>
              </w:rPr>
              <w:t>84</w:t>
            </w:r>
            <w:r w:rsidRPr="006C359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038</w:t>
            </w:r>
            <w:r w:rsidRPr="006C359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6C359F">
              <w:rPr>
                <w:sz w:val="24"/>
                <w:szCs w:val="24"/>
              </w:rPr>
              <w:t xml:space="preserve">  тыс. рублей, в том числе: </w:t>
            </w:r>
          </w:p>
          <w:p w:rsidR="00585F48" w:rsidRPr="006C359F" w:rsidRDefault="00585F48" w:rsidP="00585F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 xml:space="preserve">за счет средств федерального бюджета – 32 897,5 тыс. рублей; </w:t>
            </w:r>
          </w:p>
          <w:p w:rsidR="00585F48" w:rsidRPr="006C359F" w:rsidRDefault="00585F48" w:rsidP="00585F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>за счет средств областного бюджета – 19</w:t>
            </w:r>
            <w:r>
              <w:rPr>
                <w:sz w:val="24"/>
                <w:szCs w:val="24"/>
              </w:rPr>
              <w:t>6</w:t>
            </w:r>
            <w:r w:rsidRPr="006C359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542</w:t>
            </w:r>
            <w:r w:rsidRPr="006C359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6C359F">
              <w:rPr>
                <w:sz w:val="24"/>
                <w:szCs w:val="24"/>
              </w:rPr>
              <w:t xml:space="preserve"> тыс. рублей; </w:t>
            </w:r>
          </w:p>
          <w:p w:rsidR="006D51E0" w:rsidRPr="002B6B84" w:rsidRDefault="00585F48" w:rsidP="00585F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6C359F">
              <w:rPr>
                <w:sz w:val="24"/>
                <w:szCs w:val="24"/>
              </w:rPr>
              <w:t>за счет средств местного бюджета – 25</w:t>
            </w:r>
            <w:r>
              <w:rPr>
                <w:sz w:val="24"/>
                <w:szCs w:val="24"/>
              </w:rPr>
              <w:t>4</w:t>
            </w:r>
            <w:r w:rsidRPr="006C359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598</w:t>
            </w:r>
            <w:r w:rsidRPr="006C359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6C359F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</w:t>
      </w:r>
      <w:proofErr w:type="spellStart"/>
      <w:r>
        <w:rPr>
          <w:rFonts w:eastAsia="Calibri"/>
          <w:sz w:val="24"/>
          <w:szCs w:val="24"/>
          <w:lang w:eastAsia="en-US"/>
        </w:rPr>
        <w:t>Кугушергского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средняя численность участников клубных формирований в расчете на 1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>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lastRenderedPageBreak/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358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481"/>
        <w:gridCol w:w="1417"/>
        <w:gridCol w:w="1560"/>
        <w:gridCol w:w="1701"/>
        <w:gridCol w:w="1701"/>
        <w:gridCol w:w="1701"/>
        <w:gridCol w:w="1417"/>
      </w:tblGrid>
      <w:tr w:rsidR="00F018BB" w:rsidRPr="00E00741" w:rsidTr="00571E3D">
        <w:trPr>
          <w:trHeight w:val="315"/>
        </w:trPr>
        <w:tc>
          <w:tcPr>
            <w:tcW w:w="153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8BB" w:rsidRDefault="00F018BB" w:rsidP="00F018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Приложение № 3</w:t>
            </w:r>
          </w:p>
          <w:p w:rsidR="00F018BB" w:rsidRDefault="00F018BB" w:rsidP="00F018BB">
            <w:pPr>
              <w:jc w:val="right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F018BB" w:rsidRPr="007169B1" w:rsidRDefault="00F018BB" w:rsidP="00571E3D">
            <w:pPr>
              <w:jc w:val="center"/>
              <w:rPr>
                <w:color w:val="000000"/>
                <w:sz w:val="24"/>
                <w:szCs w:val="24"/>
              </w:rPr>
            </w:pPr>
            <w:r w:rsidRPr="007169B1">
              <w:rPr>
                <w:color w:val="000000"/>
                <w:sz w:val="24"/>
                <w:szCs w:val="24"/>
              </w:rPr>
              <w:t>РЕСУРСНОЕ ОБЕСПЕЧЕНИЕ</w:t>
            </w:r>
          </w:p>
          <w:p w:rsidR="00F018BB" w:rsidRPr="007169B1" w:rsidRDefault="00F018BB" w:rsidP="00571E3D">
            <w:pPr>
              <w:jc w:val="center"/>
              <w:rPr>
                <w:color w:val="000000"/>
                <w:sz w:val="24"/>
                <w:szCs w:val="24"/>
              </w:rPr>
            </w:pPr>
            <w:r w:rsidRPr="007169B1">
              <w:rPr>
                <w:color w:val="000000"/>
                <w:sz w:val="24"/>
                <w:szCs w:val="24"/>
              </w:rPr>
              <w:t>муниципальной программы</w:t>
            </w:r>
          </w:p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E00741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E00741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9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9F3362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96085,84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484038,1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211,40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40468,29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196542,1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55406,15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254598,5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17590,88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96061,1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6643,8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34998,2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10947,1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61062,9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E00741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37119,7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184377,6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16892,7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76769,8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20227,0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107607,8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7551,7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39078,7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3008,5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14621,0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4543,2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24457,7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21248,2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109773,5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8871,1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42172,2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12377,1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67601,3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E00741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E00741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12270,82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61242,0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5041,3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26639,7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F3362">
              <w:rPr>
                <w:b/>
                <w:bCs/>
                <w:color w:val="000000"/>
                <w:sz w:val="16"/>
                <w:szCs w:val="16"/>
              </w:rPr>
              <w:t>7229,52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34602,3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00741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9F3362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9F3362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00741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00741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00741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00741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00741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00741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E00741">
              <w:rPr>
                <w:color w:val="000000"/>
                <w:sz w:val="16"/>
                <w:szCs w:val="16"/>
              </w:rPr>
              <w:lastRenderedPageBreak/>
              <w:t>(</w:t>
            </w:r>
            <w:r w:rsidRPr="00E00741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E0074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E00741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E0074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00741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107,47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E00741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center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E00741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E00741">
              <w:rPr>
                <w:color w:val="000000"/>
                <w:sz w:val="16"/>
                <w:szCs w:val="16"/>
              </w:rPr>
              <w:t>ехнической базы ДК (</w:t>
            </w:r>
            <w:r w:rsidRPr="00E00741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E0074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b/>
                <w:color w:val="000000"/>
                <w:sz w:val="16"/>
                <w:szCs w:val="16"/>
              </w:rPr>
            </w:pPr>
            <w:r w:rsidRPr="00E0074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018BB" w:rsidRPr="00E00741" w:rsidTr="00571E3D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8BB" w:rsidRPr="00E00741" w:rsidRDefault="00F018BB" w:rsidP="00571E3D">
            <w:pPr>
              <w:jc w:val="right"/>
              <w:rPr>
                <w:color w:val="000000"/>
                <w:sz w:val="16"/>
                <w:szCs w:val="16"/>
              </w:rPr>
            </w:pPr>
            <w:r w:rsidRPr="00E00741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7241"/>
    <w:rsid w:val="005F0C4C"/>
    <w:rsid w:val="005F1A8E"/>
    <w:rsid w:val="00637B53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C46B8"/>
    <w:rsid w:val="00904CA0"/>
    <w:rsid w:val="00906BE6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30BE8"/>
    <w:rsid w:val="00C41579"/>
    <w:rsid w:val="00C912E9"/>
    <w:rsid w:val="00CD3C0F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4237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4</cp:revision>
  <cp:lastPrinted>2020-12-29T10:49:00Z</cp:lastPrinted>
  <dcterms:created xsi:type="dcterms:W3CDTF">2024-07-30T08:12:00Z</dcterms:created>
  <dcterms:modified xsi:type="dcterms:W3CDTF">2024-07-30T08:15:00Z</dcterms:modified>
</cp:coreProperties>
</file>