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B1EC0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УТВЕРЖДЕНА</w:t>
            </w:r>
          </w:p>
          <w:p w:rsidR="00FD2A10" w:rsidRPr="00FD2A10" w:rsidRDefault="00FD2A10" w:rsidP="009B1E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постановлением а</w:t>
            </w:r>
            <w:bookmarkStart w:id="0" w:name="_GoBack"/>
            <w:bookmarkEnd w:id="0"/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дминистрации Яранского муниципального района  Кировской области </w:t>
            </w:r>
          </w:p>
          <w:p w:rsidR="00FD2A10" w:rsidRDefault="00FD2A10" w:rsidP="00FD2A10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>от  2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FD2A10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09</w:t>
            </w:r>
            <w:r w:rsidRPr="00FD2A10">
              <w:rPr>
                <w:sz w:val="24"/>
                <w:szCs w:val="24"/>
                <w:lang w:eastAsia="en-US"/>
              </w:rPr>
              <w:t>.202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741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Pr="0073343E" w:rsidRDefault="00FD2A10" w:rsidP="00FD2A10">
      <w:pPr>
        <w:jc w:val="center"/>
        <w:rPr>
          <w:b/>
          <w:sz w:val="24"/>
          <w:szCs w:val="24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>
        <w:rPr>
          <w:b/>
          <w:sz w:val="24"/>
          <w:szCs w:val="24"/>
        </w:rPr>
        <w:t>26</w:t>
      </w:r>
      <w:r w:rsidRPr="0073343E">
        <w:rPr>
          <w:b/>
          <w:sz w:val="24"/>
          <w:szCs w:val="24"/>
        </w:rPr>
        <w:t>.01.202</w:t>
      </w:r>
      <w:r>
        <w:rPr>
          <w:b/>
          <w:sz w:val="24"/>
          <w:szCs w:val="24"/>
        </w:rPr>
        <w:t>4</w:t>
      </w:r>
      <w:r w:rsidRPr="0073343E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30</w:t>
      </w:r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04219F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04219F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«Яранская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«Яранский краеведческий музей» Яранского района Кировской области</w:t>
            </w:r>
          </w:p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BB4794" w:rsidRDefault="00BB4794" w:rsidP="001D7CF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after="200"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1D7CF8">
            <w:pPr>
              <w:spacing w:after="200"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1D7CF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1D7CF8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1D7CF8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1D7CF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1D7CF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1D7CF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1D7CF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1D7CF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DA02D4" w:rsidRDefault="006D51E0" w:rsidP="00997769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  <w:p w:rsidR="00997769" w:rsidRPr="00997769" w:rsidRDefault="00997769" w:rsidP="00997769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1D7CF8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997769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997769"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Целевые 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 xml:space="preserve">увеличение численности участников культурно-досуговых мероприятий (по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сравнению с предыдущим годом);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человек;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посещаемости музейных учреждений, посещений на 1 жителя в год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прибытий в Яранский район (по сравнению с предыдущим годом)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1D7CF8">
            <w:pPr>
              <w:numPr>
                <w:ilvl w:val="0"/>
                <w:numId w:val="5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8B0BA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2D4" w:rsidRDefault="006D51E0" w:rsidP="002B6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 w:rsidR="00FD2A10">
              <w:rPr>
                <w:sz w:val="24"/>
                <w:szCs w:val="24"/>
              </w:rPr>
              <w:t>460 850,0</w:t>
            </w:r>
            <w:r w:rsidRPr="002B6B84">
              <w:rPr>
                <w:sz w:val="24"/>
                <w:szCs w:val="24"/>
              </w:rPr>
              <w:t xml:space="preserve"> тыс. рублей, в том числе:</w:t>
            </w:r>
          </w:p>
          <w:p w:rsidR="006D51E0" w:rsidRDefault="00DA02D4" w:rsidP="002B6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федерального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D2A10">
              <w:rPr>
                <w:sz w:val="24"/>
                <w:szCs w:val="24"/>
              </w:rPr>
              <w:t>32 897,5</w:t>
            </w:r>
            <w:r>
              <w:rPr>
                <w:sz w:val="24"/>
                <w:szCs w:val="24"/>
              </w:rPr>
              <w:t xml:space="preserve">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  <w:r w:rsidR="006D51E0">
              <w:rPr>
                <w:sz w:val="24"/>
                <w:szCs w:val="24"/>
              </w:rPr>
              <w:t xml:space="preserve"> </w:t>
            </w:r>
          </w:p>
          <w:p w:rsidR="006D51E0" w:rsidRDefault="006D51E0" w:rsidP="002B6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D2A10">
              <w:rPr>
                <w:sz w:val="24"/>
                <w:szCs w:val="24"/>
              </w:rPr>
              <w:t>176 368,1</w:t>
            </w:r>
            <w:r>
              <w:rPr>
                <w:sz w:val="24"/>
                <w:szCs w:val="24"/>
              </w:rPr>
              <w:t xml:space="preserve">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6D51E0" w:rsidRPr="002B6B84" w:rsidRDefault="006D51E0" w:rsidP="00FD2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 w:rsidR="00FD2A10">
              <w:rPr>
                <w:sz w:val="24"/>
                <w:szCs w:val="24"/>
              </w:rPr>
              <w:t>251 584,4</w:t>
            </w:r>
            <w:r w:rsidRPr="002B6B84">
              <w:rPr>
                <w:sz w:val="24"/>
                <w:szCs w:val="24"/>
              </w:rPr>
              <w:t xml:space="preserve"> 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8B0BA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2B6B84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DA6413" w:rsidRDefault="00BB4794" w:rsidP="00E05EB0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</w:t>
      </w:r>
      <w:r w:rsidR="00700722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культурного наследия (памятников истории и культуры) народов Российской Федерации, в том числе 1</w:t>
      </w:r>
      <w:r w:rsidR="001D7CF8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объектов регионального значения и </w:t>
      </w:r>
      <w:r w:rsidR="001D7CF8">
        <w:rPr>
          <w:rFonts w:eastAsia="Calibri"/>
          <w:sz w:val="24"/>
          <w:szCs w:val="24"/>
          <w:lang w:eastAsia="en-US"/>
        </w:rPr>
        <w:t>10</w:t>
      </w:r>
      <w:r>
        <w:rPr>
          <w:rFonts w:eastAsia="Calibri"/>
          <w:sz w:val="24"/>
          <w:szCs w:val="24"/>
          <w:lang w:eastAsia="en-US"/>
        </w:rPr>
        <w:t xml:space="preserve">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lastRenderedPageBreak/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BB4794" w:rsidRDefault="00BB4794" w:rsidP="00BB4794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201</w:t>
      </w:r>
      <w:r w:rsidR="00895F69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году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 при муниципальном бюджетном учреждении культуры «Яранская центральная районная библиотека им.</w:t>
      </w:r>
      <w:r w:rsidR="006E002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Г.Ф.</w:t>
      </w:r>
      <w:r w:rsidR="0070072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Боровикова» функционировало </w:t>
      </w:r>
      <w:r w:rsidR="005C7241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 xml:space="preserve">0 библиотек, в том числе отдел центральная детская библиотека и 9 сельских библиотек-филиалов.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 w:rsidR="00844CE2"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</w:t>
      </w:r>
      <w:r w:rsidR="00844CE2">
        <w:rPr>
          <w:rFonts w:eastAsia="Calibri"/>
          <w:sz w:val="24"/>
          <w:szCs w:val="24"/>
          <w:lang w:eastAsia="en-US"/>
        </w:rPr>
        <w:t>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BB4794" w:rsidRDefault="00B51229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BB4794">
        <w:rPr>
          <w:rFonts w:eastAsia="Calibri"/>
          <w:sz w:val="24"/>
          <w:szCs w:val="24"/>
          <w:lang w:eastAsia="en-US"/>
        </w:rPr>
        <w:t xml:space="preserve"> культурно-досуговых учреждени</w:t>
      </w:r>
      <w:r>
        <w:rPr>
          <w:rFonts w:eastAsia="Calibri"/>
          <w:sz w:val="24"/>
          <w:szCs w:val="24"/>
          <w:lang w:eastAsia="en-US"/>
        </w:rPr>
        <w:t>я</w:t>
      </w:r>
      <w:r w:rsidR="00BB4794">
        <w:rPr>
          <w:rFonts w:eastAsia="Calibri"/>
          <w:sz w:val="24"/>
          <w:szCs w:val="24"/>
          <w:lang w:eastAsia="en-US"/>
        </w:rPr>
        <w:t xml:space="preserve"> (</w:t>
      </w:r>
      <w:r w:rsidR="0005731D">
        <w:rPr>
          <w:rFonts w:eastAsia="Calibri"/>
          <w:sz w:val="24"/>
          <w:szCs w:val="24"/>
          <w:lang w:eastAsia="en-US"/>
        </w:rPr>
        <w:t>Районный</w:t>
      </w:r>
      <w:r w:rsidR="00BB4794">
        <w:rPr>
          <w:rFonts w:eastAsia="Calibri"/>
          <w:sz w:val="24"/>
          <w:szCs w:val="24"/>
          <w:lang w:eastAsia="en-US"/>
        </w:rPr>
        <w:t xml:space="preserve"> Дом </w:t>
      </w:r>
      <w:r w:rsidR="0005731D">
        <w:rPr>
          <w:rFonts w:eastAsia="Calibri"/>
          <w:sz w:val="24"/>
          <w:szCs w:val="24"/>
          <w:lang w:eastAsia="en-US"/>
        </w:rPr>
        <w:t>народного творчества</w:t>
      </w:r>
      <w:r w:rsidR="00BB4794">
        <w:rPr>
          <w:rFonts w:eastAsia="Calibri"/>
          <w:sz w:val="24"/>
          <w:szCs w:val="24"/>
          <w:lang w:eastAsia="en-US"/>
        </w:rPr>
        <w:t>, городской Дом культуры</w:t>
      </w:r>
      <w:r w:rsidR="00700722">
        <w:rPr>
          <w:rFonts w:eastAsia="Calibri"/>
          <w:sz w:val="24"/>
          <w:szCs w:val="24"/>
          <w:lang w:eastAsia="en-US"/>
        </w:rPr>
        <w:t>, центр досуга молодежи «</w:t>
      </w:r>
      <w:proofErr w:type="spellStart"/>
      <w:r w:rsidR="00700722">
        <w:rPr>
          <w:rFonts w:eastAsia="Calibri"/>
          <w:sz w:val="24"/>
          <w:szCs w:val="24"/>
          <w:lang w:eastAsia="en-US"/>
        </w:rPr>
        <w:t>Ярград</w:t>
      </w:r>
      <w:proofErr w:type="spellEnd"/>
      <w:r w:rsidR="00700722">
        <w:rPr>
          <w:rFonts w:eastAsia="Calibri"/>
          <w:sz w:val="24"/>
          <w:szCs w:val="24"/>
          <w:lang w:eastAsia="en-US"/>
        </w:rPr>
        <w:t>»</w:t>
      </w:r>
      <w:r w:rsidR="00BB4794">
        <w:rPr>
          <w:rFonts w:eastAsia="Calibri"/>
          <w:sz w:val="24"/>
          <w:szCs w:val="24"/>
          <w:lang w:eastAsia="en-US"/>
        </w:rPr>
        <w:t xml:space="preserve">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настоящее время 6 любительских коллективов имеют звание «народный» и «образцовый». Все они достойно представляют культуру на всероссийских и межрегиональных фестивалях, конкурсах и форумах. Большую известность далеко за пределами области имеют коллективы «Сударушка» Кугушергского СДК, «Жар-птица» центрального Дома культуры, «</w:t>
      </w:r>
      <w:proofErr w:type="spellStart"/>
      <w:r>
        <w:rPr>
          <w:rFonts w:eastAsia="Calibri"/>
          <w:sz w:val="24"/>
          <w:szCs w:val="24"/>
          <w:lang w:eastAsia="en-US"/>
        </w:rPr>
        <w:t>Рябинушка</w:t>
      </w:r>
      <w:proofErr w:type="spellEnd"/>
      <w:r>
        <w:rPr>
          <w:rFonts w:eastAsia="Calibri"/>
          <w:sz w:val="24"/>
          <w:szCs w:val="24"/>
          <w:lang w:eastAsia="en-US"/>
        </w:rPr>
        <w:t>» Знаменского СДК, «</w:t>
      </w:r>
      <w:proofErr w:type="spellStart"/>
      <w:r>
        <w:rPr>
          <w:rFonts w:eastAsia="Calibri"/>
          <w:sz w:val="24"/>
          <w:szCs w:val="24"/>
          <w:lang w:eastAsia="en-US"/>
        </w:rPr>
        <w:t>Ветераночка</w:t>
      </w:r>
      <w:proofErr w:type="spellEnd"/>
      <w:r>
        <w:rPr>
          <w:rFonts w:eastAsia="Calibri"/>
          <w:sz w:val="24"/>
          <w:szCs w:val="24"/>
          <w:lang w:eastAsia="en-US"/>
        </w:rPr>
        <w:t>», «Мелодия» МБУК «РДНТ» Яранского района Кировской области.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</w:t>
      </w:r>
      <w:r w:rsidR="005C7241">
        <w:rPr>
          <w:rFonts w:eastAsia="Calibri"/>
          <w:sz w:val="24"/>
          <w:szCs w:val="24"/>
          <w:lang w:eastAsia="en-US"/>
        </w:rPr>
        <w:t>39</w:t>
      </w:r>
      <w:r>
        <w:rPr>
          <w:rFonts w:eastAsia="Calibri"/>
          <w:sz w:val="24"/>
          <w:szCs w:val="24"/>
          <w:lang w:eastAsia="en-US"/>
        </w:rPr>
        <w:t xml:space="preserve"> человек, обучаются </w:t>
      </w:r>
      <w:r w:rsidR="005C7241">
        <w:rPr>
          <w:rFonts w:eastAsia="Calibri"/>
          <w:sz w:val="24"/>
          <w:szCs w:val="24"/>
          <w:lang w:eastAsia="en-US"/>
        </w:rPr>
        <w:t>около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C7241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00 детей.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Детская школа искусств ежегодно успешно представляет Яранский район на международных и всероссийских фестивалях. Ее воспитанники – победители областных и всероссийских конкурсов.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Выставочная деятельность МБУК «Яранский краеведческий музей» с общей численностью сотрудников 14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Общее количество посещений 15,3 тыс. человек.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</w:t>
      </w:r>
      <w:r w:rsidR="006E2029">
        <w:rPr>
          <w:rFonts w:eastAsia="Calibri"/>
          <w:sz w:val="24"/>
          <w:szCs w:val="24"/>
          <w:lang w:eastAsia="en-US"/>
        </w:rPr>
        <w:t>возрастной состав кадров</w:t>
      </w:r>
      <w:r>
        <w:rPr>
          <w:rFonts w:eastAsia="Calibri"/>
          <w:sz w:val="24"/>
          <w:szCs w:val="24"/>
          <w:lang w:eastAsia="en-US"/>
        </w:rPr>
        <w:t xml:space="preserve">. В связи с низкой заработной платой и отсутствием жилья молодым и талантливым специалистам </w:t>
      </w:r>
      <w:r>
        <w:rPr>
          <w:rFonts w:eastAsia="Calibri"/>
          <w:sz w:val="24"/>
          <w:szCs w:val="24"/>
          <w:lang w:eastAsia="en-US"/>
        </w:rPr>
        <w:lastRenderedPageBreak/>
        <w:t xml:space="preserve">приходится уезжать в другие регионы в поисках заработка, а выпускники, продолжившие 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 w:rsidR="00844CE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BB4794" w:rsidRDefault="00BB4794" w:rsidP="00BB4794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BB4794" w:rsidRDefault="00BB4794" w:rsidP="00B51229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>, туризм не оказывает заметного влияния на экономическое развитие района, имидж Яранского района как привлекательного центра туризма и отдыха сформирован недостаточно.</w:t>
      </w:r>
    </w:p>
    <w:p w:rsidR="00BB4794" w:rsidRDefault="00BB4794" w:rsidP="00B51229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</w:t>
      </w:r>
      <w:r>
        <w:rPr>
          <w:sz w:val="24"/>
          <w:szCs w:val="24"/>
          <w:lang w:eastAsia="en-US"/>
        </w:rPr>
        <w:lastRenderedPageBreak/>
        <w:t>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– 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района.</w:t>
      </w: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Создание условий для формирования конкурентоспособной туристской отрасли.</w:t>
      </w:r>
    </w:p>
    <w:p w:rsidR="00B51229" w:rsidRDefault="00B51229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BB4794" w:rsidRPr="00754FC5" w:rsidRDefault="00BB4794" w:rsidP="00754FC5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BB4794" w:rsidRDefault="00BB4794" w:rsidP="00BB4794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B51229" w:rsidRDefault="00B51229" w:rsidP="00B51229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B4794" w:rsidRDefault="00BB4794" w:rsidP="00E05EB0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</w:t>
      </w:r>
      <w:proofErr w:type="gramStart"/>
      <w:r>
        <w:rPr>
          <w:rFonts w:eastAsia="Calibri"/>
          <w:spacing w:val="-4"/>
          <w:sz w:val="24"/>
          <w:szCs w:val="24"/>
          <w:lang w:eastAsia="en-US"/>
        </w:rPr>
        <w:t>.ч</w:t>
      </w:r>
      <w:proofErr w:type="gramEnd"/>
      <w:r>
        <w:rPr>
          <w:rFonts w:eastAsia="Calibri"/>
          <w:spacing w:val="-4"/>
          <w:sz w:val="24"/>
          <w:szCs w:val="24"/>
          <w:lang w:eastAsia="en-US"/>
        </w:rPr>
        <w:t>еловек;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</w:t>
      </w:r>
    </w:p>
    <w:p w:rsidR="005416F0" w:rsidRPr="005416F0" w:rsidRDefault="005416F0" w:rsidP="005416F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прибытий в Яранский район (по сравнению с предыдущим годом)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</w:t>
      </w:r>
    </w:p>
    <w:p w:rsidR="00BB4794" w:rsidRDefault="00BB4794" w:rsidP="00BB4794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</w:t>
      </w:r>
    </w:p>
    <w:p w:rsidR="00A35748" w:rsidRDefault="00A35748" w:rsidP="00A35748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BB4794" w:rsidRDefault="00BB4794" w:rsidP="00BB4794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деятельности учреждений культуры Яранского района,</w:t>
      </w:r>
    </w:p>
    <w:p w:rsidR="00BB4794" w:rsidRDefault="00BB4794" w:rsidP="00BB4794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района,</w:t>
      </w:r>
    </w:p>
    <w:p w:rsidR="006E0021" w:rsidRDefault="006E0021" w:rsidP="006E0021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BB4794" w:rsidRDefault="00BB4794" w:rsidP="00BB4794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</w:t>
      </w:r>
      <w:r w:rsidR="00FD2A10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года: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библиографических записей в сводном электронном каталоге библиотек увеличится до </w:t>
      </w:r>
      <w:r w:rsidRPr="006E0021">
        <w:rPr>
          <w:rFonts w:eastAsia="Calibri"/>
          <w:sz w:val="24"/>
          <w:szCs w:val="24"/>
          <w:lang w:eastAsia="en-US"/>
        </w:rPr>
        <w:t>1</w:t>
      </w:r>
      <w:r w:rsidR="006E0021" w:rsidRPr="006E0021">
        <w:rPr>
          <w:rFonts w:eastAsia="Calibri"/>
          <w:sz w:val="24"/>
          <w:szCs w:val="24"/>
          <w:lang w:eastAsia="en-US"/>
        </w:rPr>
        <w:t>2</w:t>
      </w:r>
      <w:r w:rsidR="006E0021">
        <w:rPr>
          <w:rFonts w:eastAsia="Calibri"/>
          <w:sz w:val="24"/>
          <w:szCs w:val="24"/>
          <w:lang w:eastAsia="en-US"/>
        </w:rPr>
        <w:t>00</w:t>
      </w:r>
      <w:r>
        <w:rPr>
          <w:rFonts w:eastAsia="Calibri"/>
          <w:sz w:val="24"/>
          <w:szCs w:val="24"/>
          <w:lang w:eastAsia="en-US"/>
        </w:rPr>
        <w:t xml:space="preserve"> записей;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0,64%</w:t>
      </w:r>
      <w:r>
        <w:rPr>
          <w:rFonts w:eastAsia="Calibri"/>
          <w:sz w:val="24"/>
          <w:szCs w:val="24"/>
          <w:lang w:eastAsia="en-US"/>
        </w:rPr>
        <w:t xml:space="preserve"> от уровня 201</w:t>
      </w:r>
      <w:r w:rsidR="00EC638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175 тыс.</w:t>
      </w:r>
      <w:r>
        <w:rPr>
          <w:rFonts w:eastAsia="Calibri"/>
          <w:sz w:val="24"/>
          <w:szCs w:val="24"/>
          <w:lang w:eastAsia="en-US"/>
        </w:rPr>
        <w:t xml:space="preserve"> рублей</w:t>
      </w:r>
    </w:p>
    <w:p w:rsidR="00BB4794" w:rsidRDefault="00BB4794" w:rsidP="00BB4794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посещений организаций культуры по отношению к уровню 201</w:t>
      </w:r>
      <w:r w:rsidR="0005731D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 xml:space="preserve">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 w:rsidR="005F1A8E" w:rsidRPr="005F1A8E">
        <w:rPr>
          <w:rFonts w:eastAsia="Calibri"/>
          <w:sz w:val="24"/>
          <w:szCs w:val="24"/>
          <w:lang w:eastAsia="en-US"/>
        </w:rPr>
        <w:t>02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A5314A" w:rsidRDefault="00A5314A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r w:rsidR="009923E2">
        <w:rPr>
          <w:rFonts w:eastAsia="Calibri"/>
          <w:sz w:val="24"/>
          <w:szCs w:val="24"/>
          <w:lang w:eastAsia="en-US"/>
        </w:rPr>
        <w:t xml:space="preserve"> прилагается (Приложение № 2).</w:t>
      </w:r>
    </w:p>
    <w:p w:rsidR="00BB4794" w:rsidRDefault="00BB4794" w:rsidP="00A5314A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реализации муниципальной программы – 20</w:t>
      </w:r>
      <w:r w:rsidR="0005731D">
        <w:rPr>
          <w:rFonts w:eastAsia="Calibri"/>
          <w:sz w:val="24"/>
          <w:szCs w:val="24"/>
          <w:lang w:eastAsia="en-US"/>
        </w:rPr>
        <w:t>21</w:t>
      </w:r>
      <w:r>
        <w:rPr>
          <w:rFonts w:eastAsia="Calibri"/>
          <w:sz w:val="24"/>
          <w:szCs w:val="24"/>
          <w:lang w:eastAsia="en-US"/>
        </w:rPr>
        <w:t xml:space="preserve"> – 202</w:t>
      </w:r>
      <w:r w:rsidR="00EA5DF6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годы, разбивка на этапы не предусматривается.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обеспечение подготовки и повышения квалификации кадров для учреждений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«Организация и предоставление дополнительного образования детям в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>. Ответственный 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877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4394"/>
      </w:tblGrid>
      <w:tr w:rsidR="004A7223" w:rsidTr="00FE70A7">
        <w:tc>
          <w:tcPr>
            <w:tcW w:w="7483" w:type="dxa"/>
          </w:tcPr>
          <w:p w:rsidR="004A7223" w:rsidRDefault="004A7223" w:rsidP="009B1E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48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209"/>
        <w:gridCol w:w="1276"/>
        <w:gridCol w:w="1134"/>
        <w:gridCol w:w="992"/>
        <w:gridCol w:w="1276"/>
        <w:gridCol w:w="1275"/>
        <w:gridCol w:w="1276"/>
        <w:gridCol w:w="1276"/>
        <w:gridCol w:w="1276"/>
        <w:gridCol w:w="1275"/>
      </w:tblGrid>
      <w:tr w:rsidR="004A7223" w:rsidTr="00FE70A7">
        <w:trPr>
          <w:trHeight w:val="51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Единица измерения</w:t>
            </w:r>
          </w:p>
        </w:tc>
        <w:tc>
          <w:tcPr>
            <w:tcW w:w="9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Значение показателя</w:t>
            </w:r>
          </w:p>
        </w:tc>
      </w:tr>
      <w:tr w:rsidR="004A7223" w:rsidTr="00FE70A7">
        <w:trPr>
          <w:trHeight w:val="510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2019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2020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(оценка)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2021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(очередной)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2022 год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(первый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 xml:space="preserve">2026 год (пятый год планового периода) </w:t>
            </w:r>
          </w:p>
        </w:tc>
      </w:tr>
      <w:tr w:rsidR="004A7223" w:rsidTr="00FE70A7">
        <w:trPr>
          <w:trHeight w:val="111"/>
          <w:tblHeader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/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7,10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112,0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1.3.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2,38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1.4.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7,74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1.5.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Pr="00EA5DF6" w:rsidRDefault="004A7223" w:rsidP="009B1EC0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12,36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1.6.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0,97</w:t>
            </w:r>
          </w:p>
        </w:tc>
      </w:tr>
      <w:tr w:rsidR="004A7223" w:rsidTr="00FE70A7">
        <w:trPr>
          <w:trHeight w:val="11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lastRenderedPageBreak/>
              <w:t>1.7.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jc w:val="center"/>
            </w:pPr>
            <w: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jc w:val="center"/>
            </w:pPr>
            <w:r>
              <w:t>19,3</w:t>
            </w:r>
          </w:p>
        </w:tc>
      </w:tr>
      <w:tr w:rsidR="004A7223" w:rsidTr="00FE70A7">
        <w:trPr>
          <w:trHeight w:val="8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1.8.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spacing w:line="276" w:lineRule="auto"/>
            </w:pPr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128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1.9.</w:t>
            </w:r>
          </w:p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1,07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1.10.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185,0</w:t>
            </w:r>
          </w:p>
        </w:tc>
      </w:tr>
      <w:tr w:rsidR="004A7223" w:rsidTr="00FE70A7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1.11.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pStyle w:val="a5"/>
              <w:widowControl w:val="0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4050,0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23" w:rsidRDefault="004A7223" w:rsidP="009B1EC0">
            <w:pPr>
              <w:tabs>
                <w:tab w:val="left" w:pos="5040"/>
              </w:tabs>
              <w:spacing w:line="276" w:lineRule="auto"/>
              <w:jc w:val="center"/>
            </w:pPr>
            <w:r>
              <w:t>4150,0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tbl>
      <w:tblPr>
        <w:tblW w:w="15041" w:type="dxa"/>
        <w:tblInd w:w="365" w:type="dxa"/>
        <w:tblLook w:val="04A0" w:firstRow="1" w:lastRow="0" w:firstColumn="1" w:lastColumn="0" w:noHBand="0" w:noVBand="1"/>
      </w:tblPr>
      <w:tblGrid>
        <w:gridCol w:w="700"/>
        <w:gridCol w:w="1840"/>
        <w:gridCol w:w="1840"/>
        <w:gridCol w:w="1447"/>
        <w:gridCol w:w="1418"/>
        <w:gridCol w:w="1559"/>
        <w:gridCol w:w="1559"/>
        <w:gridCol w:w="1559"/>
        <w:gridCol w:w="1560"/>
        <w:gridCol w:w="1559"/>
      </w:tblGrid>
      <w:tr w:rsidR="00FE70A7" w:rsidRPr="00FE70A7" w:rsidTr="00FE70A7">
        <w:trPr>
          <w:trHeight w:val="315"/>
        </w:trPr>
        <w:tc>
          <w:tcPr>
            <w:tcW w:w="15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22"/>
                <w:szCs w:val="22"/>
              </w:rPr>
            </w:pPr>
            <w:r w:rsidRPr="00FE70A7">
              <w:rPr>
                <w:color w:val="000000"/>
                <w:sz w:val="22"/>
                <w:szCs w:val="22"/>
              </w:rPr>
              <w:lastRenderedPageBreak/>
              <w:t>Приложение № 2</w:t>
            </w:r>
          </w:p>
        </w:tc>
      </w:tr>
      <w:tr w:rsidR="00FE70A7" w:rsidRPr="00FE70A7" w:rsidTr="00FE70A7">
        <w:trPr>
          <w:trHeight w:val="315"/>
        </w:trPr>
        <w:tc>
          <w:tcPr>
            <w:tcW w:w="15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24"/>
                <w:szCs w:val="24"/>
              </w:rPr>
            </w:pPr>
            <w:r w:rsidRPr="00FE70A7">
              <w:rPr>
                <w:color w:val="000000"/>
                <w:sz w:val="24"/>
                <w:szCs w:val="24"/>
              </w:rPr>
              <w:t>РЕСУРСНОЕ ОБЕСПЕЧЕНИЕ</w:t>
            </w:r>
          </w:p>
        </w:tc>
      </w:tr>
      <w:tr w:rsidR="00FE70A7" w:rsidRPr="00FE70A7" w:rsidTr="00FE70A7">
        <w:trPr>
          <w:trHeight w:val="330"/>
        </w:trPr>
        <w:tc>
          <w:tcPr>
            <w:tcW w:w="15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24"/>
                <w:szCs w:val="24"/>
              </w:rPr>
            </w:pPr>
            <w:r w:rsidRPr="00FE70A7">
              <w:rPr>
                <w:color w:val="000000"/>
                <w:sz w:val="24"/>
                <w:szCs w:val="24"/>
              </w:rPr>
              <w:t>муниципальной программы</w:t>
            </w:r>
          </w:p>
          <w:p w:rsidR="00FE70A7" w:rsidRPr="00FE70A7" w:rsidRDefault="00FE70A7" w:rsidP="00FE70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FE70A7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066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83073,47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79937,8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79940,9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460850,0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32897,5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30470,1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31315,4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30963,9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176368,1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52392,0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48510,9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48862,4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251584,4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9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Справочно: 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16305,7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15762,0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15762,0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93288,9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5586,4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5747,7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5681,2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32453,8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10719,3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10014,3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10080,8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60835,1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я(</w:t>
            </w:r>
            <w:proofErr w:type="gramEnd"/>
            <w:r w:rsidRPr="00FE70A7">
              <w:rPr>
                <w:color w:val="000000"/>
                <w:sz w:val="16"/>
                <w:szCs w:val="16"/>
              </w:rPr>
              <w:t>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30951,4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29953,4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29953,4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173977,3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12401,8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12757,2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12610,6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68046,9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18549,6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17196,2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17342,8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105930,4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6534,7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6278,9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6278,9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37191,7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2159,1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2225,0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2197,7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12901,6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4375,6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4053,9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4081,2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24290,1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18497,5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18092,0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18092,0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104318,8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6187,7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6373,1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6296,6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36784,8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12309,8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11718,9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11795,4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67534,0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Отдельное мероприятие "Организация культурно-досуговой деятельности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.."&gt;</w:t>
            </w:r>
            <w:proofErr w:type="gramEnd"/>
            <w:r w:rsidRPr="00FE70A7">
              <w:rPr>
                <w:color w:val="000000"/>
                <w:sz w:val="16"/>
                <w:szCs w:val="16"/>
              </w:rPr>
              <w:t xml:space="preserve">ЦДМ </w:t>
            </w:r>
            <w:proofErr w:type="spellStart"/>
            <w:r w:rsidRPr="00FE70A7"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10519,5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9734,2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9734,2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58607,9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4124,2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4207,9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24839,8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6395,3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5526,3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5560,9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33768,1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Отдельное мероприятие "Организация обеспечения деятельности 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40,0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FE70A7">
              <w:rPr>
                <w:color w:val="000000"/>
                <w:sz w:val="16"/>
                <w:szCs w:val="16"/>
              </w:rPr>
              <w:t>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117,20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117,30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120,40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866,0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816,7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40,2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E70A7"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9,1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FE70A7">
              <w:rPr>
                <w:color w:val="000000"/>
                <w:sz w:val="16"/>
                <w:szCs w:val="16"/>
              </w:rPr>
              <w:t xml:space="preserve">ехнической базы ДК </w:t>
            </w:r>
            <w:r w:rsidRPr="00FE70A7">
              <w:rPr>
                <w:color w:val="000000"/>
                <w:sz w:val="16"/>
                <w:szCs w:val="16"/>
              </w:rPr>
              <w:lastRenderedPageBreak/>
              <w:t>(</w:t>
            </w:r>
            <w:r w:rsidRPr="00FE70A7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FE70A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FE70A7">
              <w:rPr>
                <w:b/>
                <w:bCs/>
                <w:color w:val="000000"/>
                <w:sz w:val="16"/>
                <w:szCs w:val="16"/>
              </w:rPr>
              <w:t>РДНТ</w:t>
            </w:r>
            <w:proofErr w:type="gramStart"/>
            <w:r w:rsidRPr="00FE70A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E70A7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FE70A7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center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FE70A7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FE70A7">
              <w:rPr>
                <w:color w:val="000000"/>
                <w:sz w:val="16"/>
                <w:szCs w:val="16"/>
              </w:rPr>
              <w:t>ехнической базы ДК (</w:t>
            </w:r>
            <w:r w:rsidRPr="00FE70A7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FE70A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FE70A7" w:rsidRPr="00FE70A7" w:rsidTr="00FE70A7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70A7" w:rsidRPr="00FE70A7" w:rsidRDefault="00FE70A7" w:rsidP="00FE70A7">
            <w:pPr>
              <w:jc w:val="right"/>
              <w:rPr>
                <w:color w:val="000000"/>
                <w:sz w:val="16"/>
                <w:szCs w:val="16"/>
              </w:rPr>
            </w:pPr>
            <w:r w:rsidRPr="00FE70A7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FE70A7" w:rsidRDefault="00FE70A7"/>
    <w:sectPr w:rsidR="00FE70A7" w:rsidSect="00FE70A7">
      <w:pgSz w:w="16838" w:h="11906" w:orient="landscape"/>
      <w:pgMar w:top="851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17E2F"/>
    <w:rsid w:val="00163E4C"/>
    <w:rsid w:val="00164666"/>
    <w:rsid w:val="00177F25"/>
    <w:rsid w:val="001A1396"/>
    <w:rsid w:val="001D54BB"/>
    <w:rsid w:val="001D7CF8"/>
    <w:rsid w:val="002217C0"/>
    <w:rsid w:val="00243065"/>
    <w:rsid w:val="002616A2"/>
    <w:rsid w:val="00265DD0"/>
    <w:rsid w:val="002B2D0B"/>
    <w:rsid w:val="002B6B84"/>
    <w:rsid w:val="002D45FC"/>
    <w:rsid w:val="003410F0"/>
    <w:rsid w:val="00355F51"/>
    <w:rsid w:val="003F5121"/>
    <w:rsid w:val="00411958"/>
    <w:rsid w:val="004163CD"/>
    <w:rsid w:val="004240DD"/>
    <w:rsid w:val="004352EA"/>
    <w:rsid w:val="00473F06"/>
    <w:rsid w:val="00494F28"/>
    <w:rsid w:val="004A7223"/>
    <w:rsid w:val="004C79A1"/>
    <w:rsid w:val="005062CF"/>
    <w:rsid w:val="005321EC"/>
    <w:rsid w:val="005416F0"/>
    <w:rsid w:val="005715F7"/>
    <w:rsid w:val="005C7241"/>
    <w:rsid w:val="005F1A8E"/>
    <w:rsid w:val="00637B53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825911"/>
    <w:rsid w:val="00844CE2"/>
    <w:rsid w:val="00875F48"/>
    <w:rsid w:val="00895F69"/>
    <w:rsid w:val="008B0BA8"/>
    <w:rsid w:val="008B38F3"/>
    <w:rsid w:val="008C46B8"/>
    <w:rsid w:val="00904CA0"/>
    <w:rsid w:val="009923E2"/>
    <w:rsid w:val="00993B43"/>
    <w:rsid w:val="00997769"/>
    <w:rsid w:val="009A505F"/>
    <w:rsid w:val="009C7D60"/>
    <w:rsid w:val="00A35748"/>
    <w:rsid w:val="00A50F4E"/>
    <w:rsid w:val="00A5314A"/>
    <w:rsid w:val="00A57498"/>
    <w:rsid w:val="00AD1F63"/>
    <w:rsid w:val="00B04519"/>
    <w:rsid w:val="00B51229"/>
    <w:rsid w:val="00BA54A3"/>
    <w:rsid w:val="00BB4794"/>
    <w:rsid w:val="00BD40E9"/>
    <w:rsid w:val="00BE5A34"/>
    <w:rsid w:val="00C41579"/>
    <w:rsid w:val="00C912E9"/>
    <w:rsid w:val="00CD3C0F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46CC4"/>
    <w:rsid w:val="00EA5DF6"/>
    <w:rsid w:val="00EC6384"/>
    <w:rsid w:val="00F013B8"/>
    <w:rsid w:val="00F93AB2"/>
    <w:rsid w:val="00FD2A10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4234</Words>
  <Characters>24139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4</cp:revision>
  <cp:lastPrinted>2020-12-29T10:49:00Z</cp:lastPrinted>
  <dcterms:created xsi:type="dcterms:W3CDTF">2024-02-05T11:59:00Z</dcterms:created>
  <dcterms:modified xsi:type="dcterms:W3CDTF">2024-02-05T12:06:00Z</dcterms:modified>
</cp:coreProperties>
</file>